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>
      <w:pPr>
        <w:widowControl/>
        <w:suppressAutoHyphens/>
        <w:bidi w:val="0"/>
        <w:spacing w:before="0" w:after="160" w:line="278" w:lineRule="auto"/>
        <w:jc w:val="left"/>
        <w:rPr>
          <w:rFonts w:eastAsia="Aptos"/>
          <w:kern w:val="2"/>
          <w:lang w:val="pt-BR" w:eastAsia="en-US" w:bidi="ar-SA"/>
          <w14:ligatures w14:val="standardContextual"/>
        </w:rPr>
      </w:pPr>
      <w:r>
        <w:rPr>
          <w:rFonts w:eastAsia="Aptos"/>
          <w:b/>
          <w:bCs/>
          <w:kern w:val="2"/>
          <w:lang w:val="pt-BR" w:eastAsia="en-US" w:bidi="ar-SA"/>
          <w14:ligatures w14:val="standardContextual"/>
        </w:rPr>
        <w:t>ANEXO</w:t>
      </w:r>
      <w:r>
        <w:rPr>
          <w:rFonts w:eastAsia="Aptos"/>
          <w:b/>
          <w:bCs/>
          <w:spacing w:val="-2"/>
          <w:kern w:val="2"/>
          <w:lang w:val="pt-BR" w:eastAsia="en-US" w:bidi="ar-SA"/>
          <w14:ligatures w14:val="standardContextual"/>
        </w:rPr>
        <w:t xml:space="preserve"> </w:t>
      </w:r>
      <w:r>
        <w:rPr>
          <w:rFonts w:eastAsia="Aptos"/>
          <w:b/>
          <w:bCs/>
          <w:kern w:val="2"/>
          <w:lang w:val="pt-BR" w:eastAsia="en-US" w:bidi="ar-SA"/>
          <w14:ligatures w14:val="standardContextual"/>
        </w:rPr>
        <w:t>I</w:t>
      </w:r>
      <w:r>
        <w:rPr>
          <w:rFonts w:eastAsia="Aptos"/>
          <w:spacing w:val="-4"/>
          <w:kern w:val="2"/>
          <w:lang w:val="pt-BR" w:eastAsia="en-US" w:bidi="ar-SA"/>
          <w14:ligatures w14:val="standardContextual"/>
        </w:rPr>
        <w:t xml:space="preserve"> –</w:t>
      </w:r>
      <w:r>
        <w:rPr>
          <w:rFonts w:eastAsia="Aptos"/>
          <w:kern w:val="2"/>
          <w:lang w:val="pt-BR" w:eastAsia="en-US" w:bidi="ar-SA"/>
          <w14:ligatures w14:val="standardContextual"/>
        </w:rPr>
        <w:t xml:space="preserve"> Quadro</w:t>
      </w:r>
      <w:r>
        <w:rPr>
          <w:rFonts w:eastAsia="Aptos"/>
          <w:spacing w:val="-2"/>
          <w:kern w:val="2"/>
          <w:lang w:val="pt-BR" w:eastAsia="en-US" w:bidi="ar-SA"/>
          <w14:ligatures w14:val="standardContextual"/>
        </w:rPr>
        <w:t xml:space="preserve"> </w:t>
      </w:r>
      <w:r>
        <w:rPr>
          <w:rFonts w:eastAsia="Aptos"/>
          <w:kern w:val="2"/>
          <w:lang w:val="pt-BR" w:eastAsia="en-US" w:bidi="ar-SA"/>
          <w14:ligatures w14:val="standardContextual"/>
        </w:rPr>
        <w:t>geral</w:t>
      </w:r>
      <w:r>
        <w:rPr>
          <w:rFonts w:eastAsia="Aptos"/>
          <w:spacing w:val="-3"/>
          <w:kern w:val="2"/>
          <w:lang w:val="pt-BR" w:eastAsia="en-US" w:bidi="ar-SA"/>
          <w14:ligatures w14:val="standardContextual"/>
        </w:rPr>
        <w:t xml:space="preserve"> </w:t>
      </w:r>
      <w:r>
        <w:rPr>
          <w:rFonts w:eastAsia="Aptos"/>
          <w:kern w:val="2"/>
          <w:lang w:val="pt-BR" w:eastAsia="en-US" w:bidi="ar-SA"/>
          <w14:ligatures w14:val="standardContextual"/>
        </w:rPr>
        <w:t>de</w:t>
      </w:r>
      <w:r>
        <w:rPr>
          <w:rFonts w:eastAsia="Aptos"/>
          <w:spacing w:val="-1"/>
          <w:kern w:val="2"/>
          <w:lang w:val="pt-BR" w:eastAsia="en-US" w:bidi="ar-SA"/>
          <w14:ligatures w14:val="standardContextual"/>
        </w:rPr>
        <w:t xml:space="preserve"> professores com disponibilidade para orientação</w:t>
      </w:r>
    </w:p>
    <w:tbl>
      <w:tblPr>
        <w:tblStyle w:val="TableGrid"/>
        <w:tblpPr w:leftFromText="141" w:rightFromText="141" w:vertAnchor="text" w:horzAnchor="margin" w:tblpY="190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82"/>
        <w:gridCol w:w="2019"/>
        <w:gridCol w:w="3519"/>
      </w:tblGrid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421"/>
          <w:jc w:val="left"/>
        </w:trPr>
        <w:tc>
          <w:tcPr>
            <w:tcW w:w="3103" w:type="dxa"/>
          </w:tcPr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sz w:val="20"/>
                <w:szCs w:val="20"/>
              </w:rPr>
              <w:t>ORIENTADOR/A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sz w:val="20"/>
                <w:szCs w:val="20"/>
              </w:rPr>
              <w:t>CAMPO TEMÁTICO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sz w:val="20"/>
                <w:szCs w:val="20"/>
              </w:rPr>
              <w:t>LINHA DE PESQUISA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sz w:val="20"/>
                <w:szCs w:val="20"/>
              </w:rPr>
              <w:t>LINK PARA CURRÍCULO LATTES</w:t>
            </w:r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52"/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Alexandre</w:t>
            </w:r>
            <w:r>
              <w:rPr>
                <w:rFonts w:eastAsia="Arial MT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Almeida</w:t>
            </w:r>
            <w:r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>Barbalho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Política cultural; Políticas de comunicação; Cidadania e mídia; Elites</w:t>
            </w:r>
            <w:r>
              <w:rPr>
                <w:rFonts w:eastAsia="Aptos"/>
                <w:spacing w:val="-8"/>
                <w:sz w:val="20"/>
                <w:szCs w:val="20"/>
              </w:rPr>
              <w:t>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Cultura, diferença e desigualdade social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4">
              <w:r>
                <w:rPr>
                  <w:rFonts w:eastAsia="Aptos"/>
                  <w:spacing w:val="-2"/>
                  <w:sz w:val="20"/>
                  <w:szCs w:val="20"/>
                  <w:u w:val="single" w:color="1054CC"/>
                </w:rPr>
                <w:t>http://lattes.cnpq.br/7017826279838774</w:t>
              </w:r>
            </w:hyperlink>
            <w:r>
              <w:rPr>
                <w:rFonts w:eastAsia="Aptos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Aptos"/>
                <w:spacing w:val="-2"/>
                <w:sz w:val="20"/>
                <w:szCs w:val="20"/>
                <w:u w:val="single" w:color="1054CC"/>
              </w:rPr>
              <w:t>7017826279838774</w:t>
            </w:r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73"/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spacing w:val="8"/>
                <w:sz w:val="20"/>
                <w:szCs w:val="20"/>
              </w:rPr>
            </w:pPr>
            <w:r>
              <w:rPr>
                <w:rFonts w:eastAsia="Arial MT"/>
                <w:b/>
                <w:bCs/>
                <w:spacing w:val="8"/>
                <w:sz w:val="20"/>
                <w:szCs w:val="20"/>
              </w:rPr>
              <w:t>Clodomir Cordeiro de Matos Júnior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Cidades; Conflitos; Violências; Juventudes; Cultura; Drogas; Segurança Pública; Vítimas; Cotidiano; Ruralidades; América Latina.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Sociabilidades e Poder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5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http://lattes.cnpq.br/4555597556940476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b/>
                <w:bCs/>
                <w:sz w:val="20"/>
                <w:szCs w:val="20"/>
              </w:rPr>
              <w:t>Eduardo Gomes Machado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Urbano e cidades; Trabalho e trabalhadores/as; Movimentos sociais, ativismos, lutas e ações coletivas; Democracia; Participação Política.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Mobilizações sociais, campo e cidade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6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http://lattes.cnpq.br/3977012652736750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eastAsia="Aptos"/>
                <w:b/>
                <w:bCs/>
                <w:sz w:val="20"/>
                <w:szCs w:val="20"/>
                <w:shd w:val="clear" w:color="auto" w:fill="FFFFFF"/>
              </w:rPr>
              <w:t>Emanuel Freitas da Silva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Religiões e sociedade; eleições e representação política; teoria sociológica; sociologia política; sexualidades; pensamento social brasileiro.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Sociabilidade e poder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http://lattes.cnpq.br/7345022773025669</w:t>
            </w:r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304"/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Francisco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Elionardo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de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Melo</w:t>
            </w:r>
            <w:r>
              <w:rPr>
                <w:rFonts w:eastAsia="Arial MT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>Nascimento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Violência urbana; Processos de Formações de Políticas de Estado; Dinâmicas Prisionais; Ressocialização; Trabalho Prisional; Polícia Penal; Facções e Relações de Poder; Sociabilidades; Masculinidades; Gênero, Sexualidade, Travestilidades e Trajetórias.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Sociabilidades e Poder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7">
              <w:r>
                <w:rPr>
                  <w:rFonts w:eastAsia="Aptos"/>
                  <w:spacing w:val="-2"/>
                  <w:sz w:val="20"/>
                  <w:szCs w:val="20"/>
                  <w:u w:val="single" w:color="0000FF"/>
                </w:rPr>
                <w:t>http://lattes.cnpq.br/</w:t>
              </w:r>
            </w:hyperlink>
            <w:r>
              <w:rPr>
                <w:rFonts w:eastAsia="Aptos"/>
                <w:spacing w:val="-2"/>
                <w:sz w:val="20"/>
                <w:szCs w:val="20"/>
              </w:rPr>
              <w:t xml:space="preserve"> </w:t>
            </w:r>
            <w:hyperlink r:id="rId7">
              <w:r>
                <w:rPr>
                  <w:rFonts w:eastAsia="Aptos"/>
                  <w:spacing w:val="-2"/>
                  <w:sz w:val="20"/>
                  <w:szCs w:val="20"/>
                  <w:u w:val="single" w:color="0000FF"/>
                </w:rPr>
                <w:t>7400589896303891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Francisco</w:t>
            </w:r>
            <w:r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Thiago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Rocha</w:t>
            </w:r>
            <w:r>
              <w:rPr>
                <w:rFonts w:eastAsia="Arial MT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>Vasconcelos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Segurança pública e criminalidade; Pensamento e ação de extrema-direita.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Sociabilidades e Poder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8">
              <w:r>
                <w:rPr>
                  <w:rFonts w:eastAsia="Aptos"/>
                  <w:spacing w:val="-2"/>
                  <w:sz w:val="20"/>
                  <w:szCs w:val="20"/>
                  <w:u w:val="single"/>
                </w:rPr>
                <w:t>http://lattes.cnpq.br/0259987728136294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pacing w:val="-2"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Gerciane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Maria</w:t>
            </w:r>
            <w:r>
              <w:rPr>
                <w:rFonts w:eastAsia="Arial MT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da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Costa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 xml:space="preserve"> Oliveira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Sociologia da arte e da cultura (práticas artísticas e culturais, mercado de arte e sociologia das obras); Sociologia rural (novas ruralidades, patrimônio rural e cultura e educação nos espaços rurais).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Cultura, diferença e desigualdade social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9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http://lattes.cnpq.br/3047609921235090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11"/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João</w:t>
            </w:r>
            <w:r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Tadeu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de</w:t>
            </w:r>
            <w:r>
              <w:rPr>
                <w:rFonts w:eastAsia="Arial MT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>Andrade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 xml:space="preserve">Sistemas e processos terapêuticos; Humanização da  atenção à saúde; Práticas de cura tradicional; Medicina 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Cultura, diferença e desigualdade social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rFonts w:eastAsia="Aptos"/>
                <w:sz w:val="20"/>
                <w:szCs w:val="20"/>
              </w:rPr>
            </w:pPr>
            <w:hyperlink r:id="rId10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http://lattes.cnpq.br/2614264576630370</w:t>
              </w:r>
            </w:hyperlink>
          </w:p>
        </w:tc>
      </w:tr>
    </w:tbl>
    <w:p>
      <w:pPr>
        <w:widowControl w:val="0"/>
        <w:suppressAutoHyphens/>
        <w:bidi w:val="0"/>
        <w:spacing w:before="0" w:after="0" w:line="240" w:lineRule="auto"/>
        <w:jc w:val="left"/>
        <w:rPr>
          <w:rFonts w:eastAsia="Arial"/>
          <w:bCs/>
          <w:sz w:val="22"/>
          <w:szCs w:val="22"/>
          <w:lang w:val="pt-BR" w:eastAsia="en-US" w:bidi="ar-SA"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nextPage"/>
          <w:pgSz w:w="11906" w:h="16838"/>
          <w:pgMar w:top="1702" w:right="1701" w:bottom="1417" w:left="1701" w:header="708" w:footer="1239" w:gutter="0"/>
          <w:pgNumType w:fmt="decimal" w:start="16"/>
          <w:cols w:space="708"/>
          <w:formProt w:val="0"/>
          <w:textDirection w:val="lrTb"/>
          <w:docGrid w:linePitch="360" w:charSpace="0"/>
        </w:sectPr>
      </w:pPr>
    </w:p>
    <w:tbl>
      <w:tblPr>
        <w:tblStyle w:val="TableGrid0"/>
        <w:tblpPr w:leftFromText="141" w:rightFromText="141" w:vertAnchor="text" w:horzAnchor="margin" w:tblpY="190"/>
        <w:tblW w:w="5000" w:type="pct"/>
        <w:tblLook w:val="04A0"/>
      </w:tblPr>
      <w:tblGrid>
        <w:gridCol w:w="3100"/>
        <w:gridCol w:w="1967"/>
        <w:gridCol w:w="3427"/>
      </w:tblGrid>
      <w:tr w14:paraId="7BE597E7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72F52FB2" w14:textId="77777777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>complementar e integrativa; Métodos qualitativos de pesquisa e narrativas biográficas.</w:t>
            </w:r>
          </w:p>
        </w:tc>
        <w:tc>
          <w:tcPr>
            <w:tcW w:w="1967" w:type="dxa"/>
          </w:tcPr>
          <w:p>
            <w:pPr>
              <w:spacing w:after="0" w:line="240" w:lineRule="auto"/>
            </w:pPr>
          </w:p>
        </w:tc>
        <w:tc>
          <w:tcPr>
            <w:tcW w:w="3427" w:type="dxa"/>
          </w:tcPr>
          <w:p>
            <w:pPr>
              <w:spacing w:after="0" w:line="240" w:lineRule="auto"/>
            </w:pPr>
          </w:p>
        </w:tc>
      </w:tr>
      <w:tr w14:paraId="6C3863F9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320179DF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 w:rsidRPr="00582157">
              <w:rPr>
                <w:rFonts w:eastAsia="Arial MT"/>
                <w:b/>
                <w:sz w:val="20"/>
                <w:szCs w:val="20"/>
              </w:rPr>
              <w:t>Kadma</w:t>
            </w:r>
            <w:r w:rsidRPr="00582157"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Marques</w:t>
            </w:r>
            <w:r w:rsidRPr="00582157"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pacing w:val="-2"/>
                <w:sz w:val="20"/>
                <w:szCs w:val="20"/>
              </w:rPr>
              <w:t>Rodrigues</w:t>
            </w:r>
          </w:p>
          <w:p w:rsidR="00EB4CEF" w:rsidRPr="00582157" w:rsidP="001572FE" w14:paraId="7DAD2AB6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>Sociologia da arte e da cultura (práticas artísticas e culturais; sociologia das obras e da trajetória de artistas); Sociologia da alimentação; Condicionantes sociais que ligam alimentação, sustentabilidade e crise climática.</w:t>
            </w:r>
          </w:p>
        </w:tc>
        <w:tc>
          <w:tcPr>
            <w:tcW w:w="1360" w:type="pct"/>
          </w:tcPr>
          <w:p w:rsidR="00EB4CEF" w:rsidRPr="00582157" w:rsidP="001572FE" w14:paraId="774C8BFD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Cultura, diferença e desigualdade social</w:t>
            </w:r>
          </w:p>
        </w:tc>
        <w:tc>
          <w:tcPr>
            <w:tcW w:w="1613" w:type="pct"/>
          </w:tcPr>
          <w:p w:rsidR="00EB4CEF" w:rsidRPr="00582157" w:rsidP="001572FE" w14:paraId="4EA35D20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17" w:history="1">
              <w:r w:rsidRPr="00582157">
                <w:rPr>
                  <w:spacing w:val="-2"/>
                  <w:sz w:val="20"/>
                  <w:szCs w:val="20"/>
                  <w:u w:val="single"/>
                </w:rPr>
                <w:t>http://lattes.cnpq.br/ 3107963339537100</w:t>
              </w:r>
            </w:hyperlink>
          </w:p>
        </w:tc>
      </w:tr>
      <w:tr w14:paraId="3947A6AD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4A602F02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/>
                <w:spacing w:val="-2"/>
                <w:sz w:val="20"/>
                <w:szCs w:val="20"/>
              </w:rPr>
            </w:pPr>
            <w:r w:rsidRPr="00582157">
              <w:rPr>
                <w:rFonts w:eastAsia="Arial MT"/>
                <w:b/>
                <w:sz w:val="20"/>
                <w:szCs w:val="20"/>
              </w:rPr>
              <w:t>Natalia</w:t>
            </w:r>
            <w:r w:rsidRPr="00582157">
              <w:rPr>
                <w:rFonts w:eastAsia="Arial MT"/>
                <w:b/>
                <w:spacing w:val="-6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Monzón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pacing w:val="-2"/>
                <w:sz w:val="20"/>
                <w:szCs w:val="20"/>
              </w:rPr>
              <w:t>Montebello</w:t>
            </w:r>
          </w:p>
          <w:p w:rsidR="00EB4CEF" w:rsidRPr="00582157" w:rsidP="001572FE" w14:paraId="66F83AC3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>Teoria política moderna e contemporânea; Filosofia política; Sociologia política; Lutas sociais e movimentos sociais; Revoluções e revoltas; Pensamento político anarquista e libertário; Nacionalismos e internacionalismo; Refúgio e migrações forçadas.</w:t>
            </w:r>
          </w:p>
        </w:tc>
        <w:tc>
          <w:tcPr>
            <w:tcW w:w="1360" w:type="pct"/>
          </w:tcPr>
          <w:p w:rsidR="00EB4CEF" w:rsidRPr="00582157" w:rsidP="001572FE" w14:paraId="5BF33F47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Sociabilidades e Poder</w:t>
            </w:r>
          </w:p>
        </w:tc>
        <w:tc>
          <w:tcPr>
            <w:tcW w:w="1613" w:type="pct"/>
          </w:tcPr>
          <w:p w:rsidR="00EB4CEF" w:rsidRPr="00582157" w:rsidP="001572FE" w14:paraId="1DCF6AF9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18" w:history="1">
              <w:r w:rsidRPr="00582157">
                <w:rPr>
                  <w:sz w:val="20"/>
                  <w:szCs w:val="20"/>
                  <w:u w:val="single"/>
                </w:rPr>
                <w:t>http://lattes.cnpq.br/2677023420205664</w:t>
              </w:r>
            </w:hyperlink>
          </w:p>
        </w:tc>
      </w:tr>
      <w:tr w14:paraId="38F38D41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0CD21AFC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 w:rsidRPr="00582157">
              <w:rPr>
                <w:rFonts w:eastAsia="Arial MT"/>
                <w:b/>
                <w:sz w:val="20"/>
                <w:szCs w:val="20"/>
              </w:rPr>
              <w:t>Peter Michael Rosset</w:t>
            </w:r>
          </w:p>
          <w:p w:rsidR="00EB4CEF" w:rsidRPr="00582157" w:rsidP="001572FE" w14:paraId="7361EABE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Cs/>
                <w:sz w:val="20"/>
                <w:szCs w:val="20"/>
              </w:rPr>
            </w:pPr>
            <w:r w:rsidRPr="00582157">
              <w:rPr>
                <w:rFonts w:eastAsia="Arial MT"/>
                <w:bCs/>
                <w:sz w:val="20"/>
                <w:szCs w:val="20"/>
              </w:rPr>
              <w:t>Estudos agrários críticos; questão agrária; movimentos sociais rurais; organizações camponesas e de povos indígenas; despojo e defesa da terra e do território; reforma agrária; agroecologia; soberania alimentar; processos de autonomia territorial camponeses e de povos indígenas.</w:t>
            </w:r>
          </w:p>
        </w:tc>
        <w:tc>
          <w:tcPr>
            <w:tcW w:w="1360" w:type="pct"/>
          </w:tcPr>
          <w:p w:rsidR="00EB4CEF" w:rsidRPr="00582157" w:rsidP="001572FE" w14:paraId="0E7779E1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Mobilizações sociais, campo e cidade</w:t>
            </w:r>
          </w:p>
        </w:tc>
        <w:tc>
          <w:tcPr>
            <w:tcW w:w="1613" w:type="pct"/>
          </w:tcPr>
          <w:p w:rsidR="00EB4CEF" w:rsidRPr="00582157" w:rsidP="001572FE" w14:paraId="188B7426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http://lattes.cnpq.br/2665634322956186</w:t>
            </w:r>
          </w:p>
        </w:tc>
      </w:tr>
      <w:tr w14:paraId="604BB18F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727EB9F9" w14:textId="77777777">
            <w:pPr>
              <w:spacing w:after="0" w:line="240" w:lineRule="auto"/>
              <w:jc w:val="center"/>
              <w:rPr>
                <w:rFonts w:eastAsia="Cambria"/>
                <w:b/>
                <w:sz w:val="20"/>
                <w:szCs w:val="20"/>
              </w:rPr>
            </w:pPr>
            <w:r w:rsidRPr="00582157">
              <w:rPr>
                <w:rFonts w:eastAsia="Cambria"/>
                <w:b/>
                <w:sz w:val="20"/>
                <w:szCs w:val="20"/>
              </w:rPr>
              <w:t>Preciliana</w:t>
            </w:r>
            <w:r w:rsidRPr="00582157">
              <w:rPr>
                <w:rFonts w:eastAsia="Cambria"/>
                <w:b/>
                <w:sz w:val="20"/>
                <w:szCs w:val="20"/>
              </w:rPr>
              <w:t xml:space="preserve"> Barreto de Morais</w:t>
            </w:r>
          </w:p>
          <w:p w:rsidR="00EB4CEF" w:rsidRPr="00582157" w:rsidP="001572FE" w14:paraId="02B16A9D" w14:textId="5C54677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>Teoria Social Moderna e Sociabilidades contemporâneas; Sociologia da educação; da Infância, da juventude e da velhice. Políticas Públicas e Saúde.</w:t>
            </w:r>
          </w:p>
        </w:tc>
        <w:tc>
          <w:tcPr>
            <w:tcW w:w="1360" w:type="pct"/>
          </w:tcPr>
          <w:p w:rsidR="00EB4CEF" w:rsidRPr="00582157" w:rsidP="001572FE" w14:paraId="6B53C4E7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Cultura, diferença e desigualdade social</w:t>
            </w:r>
          </w:p>
        </w:tc>
        <w:tc>
          <w:tcPr>
            <w:tcW w:w="1613" w:type="pct"/>
          </w:tcPr>
          <w:p w:rsidR="00EB4CEF" w:rsidRPr="00582157" w:rsidP="001572FE" w14:paraId="07B5B0C9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19">
              <w:r w:rsidRPr="00582157">
                <w:rPr>
                  <w:sz w:val="20"/>
                  <w:szCs w:val="20"/>
                  <w:u w:val="single"/>
                </w:rPr>
                <w:t>http://lattes.cnpq.br/8096533106373011</w:t>
              </w:r>
            </w:hyperlink>
          </w:p>
        </w:tc>
      </w:tr>
      <w:tr w14:paraId="38E993BE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52E7B109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 w:rsidRPr="00582157">
              <w:rPr>
                <w:rFonts w:eastAsia="Arial MT"/>
                <w:b/>
                <w:sz w:val="20"/>
                <w:szCs w:val="20"/>
              </w:rPr>
              <w:t>Ricardo</w:t>
            </w:r>
            <w:r w:rsidRPr="00582157"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César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Carvalho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pacing w:val="-2"/>
                <w:sz w:val="20"/>
                <w:szCs w:val="20"/>
              </w:rPr>
              <w:t>Nascimento</w:t>
            </w:r>
          </w:p>
          <w:p w:rsidR="00EB4CEF" w:rsidRPr="00582157" w:rsidP="001572FE" w14:paraId="1D7F8A4D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spacing w:val="8"/>
                <w:sz w:val="20"/>
                <w:szCs w:val="20"/>
              </w:rPr>
            </w:pPr>
            <w:r w:rsidRPr="00582157">
              <w:rPr>
                <w:rFonts w:eastAsia="Arial MT"/>
                <w:spacing w:val="8"/>
                <w:sz w:val="20"/>
                <w:szCs w:val="20"/>
              </w:rPr>
              <w:t>Culturas tradicionais e populares. Políticas públicas para a cultura. Festas populares. Práticas culturais da periferia. Sociologias pós-coloniais.</w:t>
            </w:r>
          </w:p>
          <w:p w:rsidR="00EB4CEF" w:rsidRPr="00582157" w:rsidP="001572FE" w14:paraId="40E97241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>Religiosidades afro-indígenas. Patrimônio imaterial.</w:t>
            </w:r>
          </w:p>
        </w:tc>
        <w:tc>
          <w:tcPr>
            <w:tcW w:w="1360" w:type="pct"/>
          </w:tcPr>
          <w:p w:rsidR="00EB4CEF" w:rsidRPr="00582157" w:rsidP="001572FE" w14:paraId="56D10FFD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Cultura, diferença e desigualdade social</w:t>
            </w:r>
          </w:p>
        </w:tc>
        <w:tc>
          <w:tcPr>
            <w:tcW w:w="1613" w:type="pct"/>
          </w:tcPr>
          <w:p w:rsidR="00EB4CEF" w:rsidRPr="00582157" w:rsidP="001572FE" w14:paraId="2D5F37BA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20" w:history="1">
              <w:r w:rsidRPr="00582157">
                <w:rPr>
                  <w:spacing w:val="-2"/>
                  <w:sz w:val="20"/>
                  <w:szCs w:val="20"/>
                  <w:u w:val="single"/>
                </w:rPr>
                <w:t>http://lattes.cnpq.br/ 2830701345342172</w:t>
              </w:r>
            </w:hyperlink>
          </w:p>
        </w:tc>
      </w:tr>
      <w:tr w14:paraId="16AF8CE6" w14:textId="77777777" w:rsidTr="001572FE">
        <w:tblPrEx>
          <w:tblW w:w="5000" w:type="pct"/>
          <w:tblLook w:val="04A0"/>
        </w:tblPrEx>
        <w:tc>
          <w:tcPr>
            <w:tcW w:w="2027" w:type="pct"/>
          </w:tcPr>
          <w:p w:rsidR="00EB4CEF" w:rsidRPr="00582157" w:rsidP="001572FE" w14:paraId="73D5AA33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 w:rsidRPr="00582157">
              <w:rPr>
                <w:rFonts w:eastAsia="Arial MT"/>
                <w:b/>
                <w:sz w:val="20"/>
                <w:szCs w:val="20"/>
              </w:rPr>
              <w:t>Roberta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Manuela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Barros</w:t>
            </w:r>
            <w:r w:rsidRPr="00582157"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z w:val="20"/>
                <w:szCs w:val="20"/>
              </w:rPr>
              <w:t>de</w:t>
            </w:r>
            <w:r w:rsidRPr="00582157">
              <w:rPr>
                <w:rFonts w:eastAsia="Arial MT"/>
                <w:b/>
                <w:spacing w:val="-4"/>
                <w:sz w:val="20"/>
                <w:szCs w:val="20"/>
              </w:rPr>
              <w:t xml:space="preserve"> </w:t>
            </w:r>
            <w:r w:rsidRPr="00582157">
              <w:rPr>
                <w:rFonts w:eastAsia="Arial MT"/>
                <w:b/>
                <w:spacing w:val="-2"/>
                <w:sz w:val="20"/>
                <w:szCs w:val="20"/>
              </w:rPr>
              <w:t>Andrade</w:t>
            </w:r>
          </w:p>
          <w:p w:rsidR="00EB4CEF" w:rsidRPr="00582157" w:rsidP="001572FE" w14:paraId="66EF5FFC" w14:textId="777777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2157">
              <w:rPr>
                <w:spacing w:val="8"/>
                <w:sz w:val="20"/>
                <w:szCs w:val="20"/>
              </w:rPr>
              <w:t xml:space="preserve">Sociologia da mídia (indústria cultural, imprensa, cultura popular e de massa), sociologia da literatura (literatura de entretenimento ou de massa, campo editorial, novas </w:t>
            </w:r>
          </w:p>
        </w:tc>
        <w:tc>
          <w:tcPr>
            <w:tcW w:w="1360" w:type="pct"/>
          </w:tcPr>
          <w:p w:rsidR="00EB4CEF" w:rsidRPr="00582157" w:rsidP="001572FE" w14:paraId="08423153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82157">
              <w:rPr>
                <w:sz w:val="20"/>
                <w:szCs w:val="20"/>
              </w:rPr>
              <w:t>Cultura, diferença e desigualdade social</w:t>
            </w:r>
          </w:p>
        </w:tc>
        <w:tc>
          <w:tcPr>
            <w:tcW w:w="1613" w:type="pct"/>
          </w:tcPr>
          <w:p w:rsidR="00EB4CEF" w:rsidRPr="00582157" w:rsidP="001572FE" w14:paraId="6E6AEA68" w14:textId="7777777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21" w:history="1">
              <w:r w:rsidRPr="00582157">
                <w:rPr>
                  <w:sz w:val="20"/>
                  <w:szCs w:val="20"/>
                  <w:u w:val="single"/>
                </w:rPr>
                <w:t>http://lattes.cnpq.br/0111970900212948</w:t>
              </w:r>
            </w:hyperlink>
          </w:p>
        </w:tc>
      </w:tr>
    </w:tbl>
    <w:p>
      <w:pPr>
        <w:spacing w:before="0" w:after="0" w:line="278" w:lineRule="auto"/>
        <w:rPr>
          <w:rFonts w:asciiTheme="minorHAnsi" w:eastAsiaTheme="minorHAnsi" w:hAnsiTheme="minorHAnsi" w:cstheme="minorBidi"/>
          <w:kern w:val="2"/>
          <w:sz w:val="0"/>
          <w:szCs w:val="0"/>
          <w:lang w:val="pt-BR" w:eastAsia="en-US" w:bidi="ar-SA"/>
          <w14:ligatures w14:val="standardContextual"/>
        </w:rPr>
        <w:sectPr w:rsidSect="008727EC">
          <w:headerReference w:type="default" r:id="rId22"/>
          <w:footerReference w:type="default" r:id="rId23"/>
          <w:pgSz w:w="11906" w:h="16838"/>
          <w:pgMar w:top="1702" w:right="1701" w:bottom="1417" w:left="1701" w:header="708" w:footer="1239" w:gutter="0"/>
          <w:pgNumType w:start="17"/>
          <w:cols w:space="708"/>
          <w:titlePg w:val="0"/>
          <w:docGrid w:linePitch="360"/>
        </w:sectPr>
      </w:pPr>
    </w:p>
    <w:tbl>
      <w:tblPr>
        <w:tblStyle w:val="TableGrid1"/>
        <w:tblpPr w:leftFromText="141" w:rightFromText="141" w:vertAnchor="text" w:horzAnchor="margin" w:tblpY="190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82"/>
        <w:gridCol w:w="2019"/>
        <w:gridCol w:w="3519"/>
      </w:tblGrid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/>
              <w:bidi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plataformas e práticas de leitura).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left"/>
              <w:rPr>
                <w:rFonts w:ascii="Aptos" w:eastAsia="Aptos" w:hAnsi="Aptos"/>
              </w:rPr>
            </w:pP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left"/>
              <w:rPr>
                <w:rFonts w:ascii="Aptos" w:eastAsia="Aptos" w:hAnsi="Aptos"/>
              </w:rPr>
            </w:pPr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spacing w:val="8"/>
                <w:sz w:val="20"/>
                <w:szCs w:val="20"/>
              </w:rPr>
            </w:pPr>
            <w:r>
              <w:rPr>
                <w:rFonts w:eastAsia="Arial MT"/>
                <w:b/>
                <w:bCs/>
                <w:spacing w:val="8"/>
                <w:sz w:val="20"/>
                <w:szCs w:val="20"/>
              </w:rPr>
              <w:t>Roberto Marques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Gênero, sexualidade e dinâmicas espaciais; Lazer e consumo em pequenas localidades; Marcadores sociais da diferença; Interseccionalidade; Etnobiografia; Formas expressivas; Produção de sujeitos políticos contemporâneos; Festas.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Mobilizações sociais, campo e cidade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sz w:val="20"/>
                <w:szCs w:val="20"/>
              </w:rPr>
            </w:pPr>
            <w:hyperlink r:id="rId24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http://lattes.cnpq.br/7700061700590484</w:t>
              </w:r>
            </w:hyperlink>
          </w:p>
        </w:tc>
      </w:tr>
      <w:tr>
        <w:tblPrEx>
          <w:tblW w:w="5000" w:type="pct"/>
          <w:jc w:val="left"/>
          <w:tblInd w:w="-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59"/>
          <w:jc w:val="left"/>
        </w:trPr>
        <w:tc>
          <w:tcPr>
            <w:tcW w:w="3103" w:type="dxa"/>
          </w:tcPr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b/>
                <w:sz w:val="20"/>
                <w:szCs w:val="20"/>
              </w:rPr>
            </w:pPr>
            <w:r>
              <w:rPr>
                <w:rFonts w:eastAsia="Arial MT"/>
                <w:b/>
                <w:sz w:val="20"/>
                <w:szCs w:val="20"/>
              </w:rPr>
              <w:t>Wellington</w:t>
            </w:r>
            <w:r>
              <w:rPr>
                <w:rFonts w:eastAsia="Arial MT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Ricardo</w:t>
            </w:r>
            <w:r>
              <w:rPr>
                <w:rFonts w:eastAsia="Arial MT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z w:val="20"/>
                <w:szCs w:val="20"/>
              </w:rPr>
              <w:t>Nogueira</w:t>
            </w:r>
            <w:r>
              <w:rPr>
                <w:rFonts w:eastAsia="Arial MT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Arial MT"/>
                <w:b/>
                <w:spacing w:val="-2"/>
                <w:sz w:val="20"/>
                <w:szCs w:val="20"/>
              </w:rPr>
              <w:t>Maciel</w:t>
            </w:r>
          </w:p>
          <w:p>
            <w:pPr>
              <w:widowControl w:val="0"/>
              <w:bidi w:val="0"/>
              <w:spacing w:before="0" w:after="0" w:line="240" w:lineRule="auto"/>
              <w:jc w:val="center"/>
              <w:rPr>
                <w:rFonts w:eastAsia="Arial MT"/>
                <w:spacing w:val="8"/>
                <w:sz w:val="20"/>
                <w:szCs w:val="20"/>
              </w:rPr>
            </w:pPr>
            <w:r>
              <w:rPr>
                <w:rFonts w:eastAsia="Arial MT"/>
                <w:spacing w:val="8"/>
                <w:sz w:val="20"/>
                <w:szCs w:val="20"/>
              </w:rPr>
              <w:t>Imaginário urbano; Segurança pública</w:t>
            </w:r>
          </w:p>
          <w:p>
            <w:pPr>
              <w:widowControl/>
              <w:bidi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Aptos"/>
                <w:spacing w:val="8"/>
                <w:sz w:val="20"/>
                <w:szCs w:val="20"/>
              </w:rPr>
              <w:t>e cidade; Usos e contrausos da cidade; Arquitetura e cidade; Ilegalismos urbanos; Gestão das margens urbanas.</w:t>
            </w:r>
          </w:p>
        </w:tc>
        <w:tc>
          <w:tcPr>
            <w:tcW w:w="1969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Mobilizações sociais, campo e cidade</w:t>
            </w:r>
          </w:p>
        </w:tc>
        <w:tc>
          <w:tcPr>
            <w:tcW w:w="3432" w:type="dxa"/>
          </w:tcPr>
          <w:p>
            <w:pPr>
              <w:widowControl/>
              <w:bidi w:val="0"/>
              <w:spacing w:before="0" w:after="0" w:line="240" w:lineRule="auto"/>
              <w:jc w:val="both"/>
              <w:rPr>
                <w:sz w:val="20"/>
                <w:szCs w:val="20"/>
              </w:rPr>
            </w:pPr>
            <w:hyperlink r:id="rId25">
              <w:r>
                <w:rPr>
                  <w:rFonts w:eastAsia="Aptos"/>
                  <w:sz w:val="20"/>
                  <w:szCs w:val="20"/>
                  <w:u w:val="single"/>
                </w:rPr>
                <w:t>http://lattes.cnpq.br/2160564643693951</w:t>
              </w:r>
            </w:hyperlink>
          </w:p>
        </w:tc>
      </w:tr>
    </w:tbl>
    <w:p>
      <w:pPr>
        <w:widowControl/>
        <w:suppressAutoHyphens/>
        <w:bidi w:val="0"/>
        <w:spacing w:before="0" w:after="160" w:line="278" w:lineRule="auto"/>
        <w:jc w:val="left"/>
        <w:rPr>
          <w:rFonts w:eastAsiaTheme="minorHAnsi"/>
          <w:b/>
          <w:kern w:val="2"/>
          <w:sz w:val="22"/>
          <w:szCs w:val="22"/>
          <w:lang w:val="pt-BR" w:eastAsia="en-US" w:bidi="ar-SA"/>
          <w14:ligatures w14:val="standardContextual"/>
        </w:rPr>
      </w:pPr>
    </w:p>
    <w:p>
      <w:pPr>
        <w:widowControl/>
        <w:suppressAutoHyphens/>
        <w:bidi w:val="0"/>
        <w:spacing w:before="0" w:after="160" w:line="278" w:lineRule="auto"/>
        <w:jc w:val="left"/>
        <w:rPr>
          <w:rFonts w:eastAsiaTheme="minorHAnsi"/>
          <w:b/>
          <w:kern w:val="2"/>
          <w:sz w:val="22"/>
          <w:szCs w:val="22"/>
          <w:lang w:val="pt-BR" w:eastAsia="en-US" w:bidi="ar-SA"/>
          <w14:ligatures w14:val="standardContextual"/>
        </w:rPr>
      </w:pPr>
    </w:p>
    <w:p>
      <w:pPr>
        <w:widowControl/>
        <w:suppressAutoHyphens/>
        <w:bidi w:val="0"/>
        <w:spacing w:before="0" w:after="160" w:line="278" w:lineRule="auto"/>
        <w:jc w:val="left"/>
        <w:rPr>
          <w:rFonts w:eastAsiaTheme="minorHAnsi"/>
          <w:b/>
          <w:kern w:val="2"/>
          <w:lang w:val="pt-BR" w:eastAsia="en-US" w:bidi="ar-SA"/>
          <w14:ligatures w14:val="standardContextual"/>
        </w:rPr>
      </w:pP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nextPage"/>
      <w:pgSz w:w="11906" w:h="16838"/>
      <w:pgMar w:top="1702" w:right="1701" w:bottom="1417" w:left="1701" w:header="708" w:footer="1239" w:gutter="0"/>
      <w:pgNumType w:fmt="decimal" w:start="18"/>
      <w:cols w:space="708"/>
      <w:formProt w:val="0"/>
      <w:textDirection w:val="lrTb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ptos">
    <w:charset w:val="00"/>
    <w:family w:val="roman"/>
    <w:pitch w:val="variable"/>
    <w:sig w:usb0="20000287" w:usb1="00000003" w:usb2="00000000" w:usb3="00000000" w:csb0="0000019F" w:csb1="00000000"/>
  </w:font>
  <w:font w:name="Aptos Display">
    <w:charset w:val="00"/>
    <w:family w:val="roman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49" type="#_x0000_t202" style="width:266.1pt;height:53.15pt;margin-top:773.1pt;margin-left:29.35pt;mso-position-horizontal-relative:page;mso-position-vertical-relative:page;mso-wrap-distance-bottom:0;mso-wrap-distance-left:0;mso-wrap-distance-right:0;mso-wrap-distance-top:0;position:absolute;v-text-anchor:top;z-index:-251656192" o:allowincell="f" filled="f" fillcolor="this" stroked="f">
              <v:textbox inset="0,0,0,0">
                <w:txbxContent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8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50" type="#_x0000_t202" style="width:266.1pt;height:53.15pt;margin-top:773.1pt;margin-left:29.35pt;mso-position-horizontal-relative:page;mso-position-vertical-relative:page;mso-wrap-distance-bottom:0;mso-wrap-distance-left:0;mso-wrap-distance-right:0;mso-wrap-distance-top:0;position:absolute;v-text-anchor:top;z-index:-251654144" o:allowincell="f" filled="f" fillcolor="this" stroked="f">
              <v:textbox inset="0,0,0,0">
                <w:txbxContent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7EC" w14:paraId="744D6410" w14:textId="04808920">
    <w:pPr>
      <w:pStyle w:val="Footer"/>
    </w:pPr>
    <w:r>
      <w:rPr>
        <w:b/>
        <w:noProof/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-1270</wp:posOffset>
          </wp:positionH>
          <wp:positionV relativeFrom="page">
            <wp:posOffset>10237658</wp:posOffset>
          </wp:positionV>
          <wp:extent cx="7559675" cy="422275"/>
          <wp:effectExtent l="0" t="0" r="3175" b="0"/>
          <wp:wrapNone/>
          <wp:docPr id="202845866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458663" name="Image 3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372960</wp:posOffset>
              </wp:positionH>
              <wp:positionV relativeFrom="page">
                <wp:posOffset>9818236</wp:posOffset>
              </wp:positionV>
              <wp:extent cx="3379470" cy="675005"/>
              <wp:effectExtent l="0" t="0" r="0" b="0"/>
              <wp:wrapNone/>
              <wp:docPr id="2059751308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27EC" w:rsidP="008727EC" w14:textId="77777777">
                          <w:pPr>
                            <w:spacing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 w:rsidR="008727EC" w:rsidP="008727EC" w14:textId="77777777">
                          <w:pPr>
                            <w:spacing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 w:rsidR="008727EC" w:rsidP="008727EC" w14:textId="77777777">
                          <w:pPr>
                            <w:spacing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60.714.903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51" type="#_x0000_t202" style="width:266.1pt;height:53.15pt;margin-top:773.09pt;margin-left:29.37pt;mso-position-horizontal-relative:page;mso-position-vertical-relative:page;mso-wrap-distance-bottom:0;mso-wrap-distance-left:0;mso-wrap-distance-right:0;mso-wrap-distance-top:0;position:absolute;v-text-anchor:top;z-index:-251651072" fillcolor="this">
              <v:textbox inset="0,0,0,0">
                <w:txbxContent>
                  <w:p w:rsidR="008727EC" w:rsidP="008727EC" w14:textId="77777777">
                    <w:pPr>
                      <w:spacing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 w:rsidR="008727EC" w:rsidP="008727EC" w14:textId="77777777">
                    <w:pPr>
                      <w:spacing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 w:rsidR="008727EC" w:rsidP="008727EC" w14:textId="77777777">
                    <w:pPr>
                      <w:spacing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60.714.903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drawing>
        <wp:anchor distT="0" distB="0" distL="0" distR="0" simplePos="0" relativeHeight="251667456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137176033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760337" name="Imag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70528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79153567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52" type="#_x0000_t202" style="width:266.1pt;height:53.15pt;margin-top:773.1pt;margin-left:29.35pt;mso-position-horizontal-relative:page;mso-position-vertical-relative:page;mso-wrap-distance-bottom:0;mso-wrap-distance-left:0;mso-wrap-distance-right:0;mso-wrap-distance-top:0;position:absolute;v-text-anchor:top;z-index:-251646976" o:allowincell="f" filled="f" fillcolor="this" stroked="f">
              <v:textbox inset="0,0,0,0">
                <w:txbxContent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54043739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437397" name="Imag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72576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156601848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before="0"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53" type="#_x0000_t202" style="width:266.1pt;height:53.15pt;margin-top:773.1pt;margin-left:29.35pt;mso-position-horizontal-relative:page;mso-position-vertical-relative:page;mso-wrap-distance-bottom:0;mso-wrap-distance-left:0;mso-wrap-distance-right:0;mso-wrap-distance-top:0;position:absolute;v-text-anchor:top;z-index:-251644928" o:allowincell="f" filled="f" fillcolor="this" stroked="f">
              <v:textbox inset="0,0,0,0">
                <w:txbxContent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before="0"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simplePos="0" relativeHeight="251661312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7EC" w:rsidRPr="008727EC" w:rsidP="008727EC" w14:paraId="7D18399F" w14:textId="5A7C5AA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583476</wp:posOffset>
          </wp:positionH>
          <wp:positionV relativeFrom="page">
            <wp:posOffset>327561</wp:posOffset>
          </wp:positionV>
          <wp:extent cx="2199640" cy="680720"/>
          <wp:effectExtent l="0" t="0" r="0" b="0"/>
          <wp:wrapNone/>
          <wp:docPr id="1080384038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384038" name="Image 1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99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3388816</wp:posOffset>
          </wp:positionH>
          <wp:positionV relativeFrom="topMargin">
            <wp:align>bottom</wp:align>
          </wp:positionV>
          <wp:extent cx="2983229" cy="643890"/>
          <wp:effectExtent l="0" t="0" r="8255" b="3810"/>
          <wp:wrapNone/>
          <wp:docPr id="718023276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23276" name="Image 2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983229" cy="64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33147655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476557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simplePos="0" relativeHeight="251666432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87813105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131057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simplePos="0" relativeHeight="251665408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95384301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843017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simplePos="0" relativeHeight="251667456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5572964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29647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572FE"/>
    <w:rsid w:val="00582157"/>
    <w:rsid w:val="008727EC"/>
    <w:rsid w:val="00A77B3E"/>
    <w:rsid w:val="00CA2A55"/>
    <w:rsid w:val="00EB4CE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CabealhoChar"/>
    <w:uiPriority w:val="99"/>
    <w:unhideWhenUsed/>
    <w:rsid w:val="008727EC"/>
    <w:pPr>
      <w:tabs>
        <w:tab w:val="clear" w:pos="708"/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kern w:val="2"/>
      <w:lang w:val="pt-BR" w:eastAsia="en-US" w:bidi="ar-SA"/>
      <w14:ligatures w14:val="standardContextual"/>
    </w:rPr>
  </w:style>
  <w:style w:type="character" w:customStyle="1" w:styleId="CabealhoChar">
    <w:name w:val="Cabeçalho Char"/>
    <w:basedOn w:val="DefaultParagraphFont"/>
    <w:uiPriority w:val="99"/>
    <w:qFormat/>
    <w:rsid w:val="008727EC"/>
  </w:style>
  <w:style w:type="paragraph" w:styleId="BodyText">
    <w:name w:val="Body Text"/>
    <w:basedOn w:val="Normal"/>
    <w:link w:val="CorpodetextoChar"/>
    <w:uiPriority w:val="1"/>
    <w:qFormat/>
    <w:rsid w:val="008727EC"/>
    <w:pPr>
      <w:widowControl w:val="0"/>
      <w:suppressAutoHyphens/>
    </w:pPr>
    <w:rPr>
      <w:rFonts w:ascii="Arial" w:eastAsia="Arial" w:hAnsi="Arial" w:cs="Arial"/>
      <w:b/>
      <w:bCs/>
      <w:sz w:val="15"/>
      <w:szCs w:val="15"/>
      <w:lang w:val="pt-PT" w:eastAsia="en-US" w:bidi="ar-SA"/>
    </w:rPr>
  </w:style>
  <w:style w:type="character" w:customStyle="1" w:styleId="CorpodetextoChar">
    <w:name w:val="Corpo de texto Char"/>
    <w:basedOn w:val="DefaultParagraphFont"/>
    <w:uiPriority w:val="1"/>
    <w:qFormat/>
    <w:rsid w:val="008727EC"/>
    <w:rPr>
      <w:rFonts w:ascii="Arial" w:eastAsia="Arial" w:hAnsi="Arial" w:cs="Arial"/>
      <w:b/>
      <w:bCs/>
      <w:kern w:val="0"/>
      <w:sz w:val="15"/>
      <w:szCs w:val="15"/>
      <w:lang w:val="pt-PT"/>
      <w14:ligatures w14:val="none"/>
    </w:rPr>
  </w:style>
  <w:style w:type="paragraph" w:styleId="Footer">
    <w:name w:val="footer"/>
    <w:basedOn w:val="Normal"/>
    <w:link w:val="RodapChar"/>
    <w:uiPriority w:val="99"/>
    <w:unhideWhenUsed/>
    <w:rsid w:val="008727EC"/>
    <w:pPr>
      <w:tabs>
        <w:tab w:val="clear" w:pos="708"/>
        <w:tab w:val="center" w:pos="4252"/>
        <w:tab w:val="right" w:pos="8504"/>
      </w:tabs>
      <w:suppressAutoHyphens/>
    </w:pPr>
    <w:rPr>
      <w:rFonts w:asciiTheme="minorHAnsi" w:eastAsiaTheme="minorHAnsi" w:hAnsiTheme="minorHAnsi" w:cstheme="minorBidi"/>
      <w:kern w:val="2"/>
      <w:lang w:val="pt-BR" w:eastAsia="en-US" w:bidi="ar-SA"/>
      <w14:ligatures w14:val="standardContextual"/>
    </w:rPr>
  </w:style>
  <w:style w:type="character" w:customStyle="1" w:styleId="RodapChar">
    <w:name w:val="Rodapé Char"/>
    <w:basedOn w:val="DefaultParagraphFont"/>
    <w:uiPriority w:val="99"/>
    <w:qFormat/>
    <w:rsid w:val="008727EC"/>
  </w:style>
  <w:style w:type="paragraph" w:customStyle="1" w:styleId="Contedodoquadro">
    <w:name w:val="Conteúdo do quadro"/>
    <w:basedOn w:val="Normal"/>
    <w:qFormat/>
    <w:pPr>
      <w:suppressAutoHyphens/>
      <w:spacing w:after="160" w:line="278" w:lineRule="auto"/>
    </w:pPr>
    <w:rPr>
      <w:rFonts w:asciiTheme="minorHAnsi" w:eastAsiaTheme="minorHAnsi" w:hAnsiTheme="minorHAnsi" w:cstheme="minorBidi"/>
      <w:kern w:val="2"/>
      <w:lang w:val="pt-BR" w:eastAsia="en-US" w:bidi="ar-SA"/>
      <w14:ligatures w14:val="standardContextual"/>
    </w:rPr>
  </w:style>
  <w:style w:type="table" w:styleId="TableGrid">
    <w:name w:val="Table Grid"/>
    <w:basedOn w:val="TableNormal"/>
    <w:uiPriority w:val="39"/>
    <w:rsid w:val="00EB4CEF"/>
    <w:pPr>
      <w:suppressAutoHyphens/>
    </w:pPr>
    <w:rPr>
      <w:rFonts w:asciiTheme="minorHAnsi" w:eastAsiaTheme="minorHAnsi" w:hAnsiTheme="minorHAnsi" w:cstheme="minorBidi"/>
      <w:kern w:val="2"/>
      <w:sz w:val="24"/>
      <w:szCs w:val="24"/>
      <w:lang w:val="pt-BR"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B4CEF"/>
    <w:pPr>
      <w:widowControl w:val="0"/>
      <w:suppressAutoHyphens/>
    </w:pPr>
    <w:rPr>
      <w:rFonts w:ascii="Arial MT" w:eastAsia="Arial MT" w:hAnsi="Arial MT" w:cs="Arial MT"/>
      <w:sz w:val="22"/>
      <w:szCs w:val="22"/>
      <w:lang w:val="pt-PT" w:eastAsia="en-US" w:bidi="ar-SA"/>
    </w:rPr>
  </w:style>
  <w:style w:type="character" w:styleId="Hyperlink">
    <w:name w:val="Hyperlink"/>
    <w:basedOn w:val="DefaultParagraphFont"/>
    <w:uiPriority w:val="99"/>
    <w:unhideWhenUsed/>
    <w:rsid w:val="00EB4CEF"/>
    <w:rPr>
      <w:color w:val="467886" w:themeColor="hyperlink"/>
      <w:u w:val="single"/>
    </w:rPr>
  </w:style>
  <w:style w:type="table" w:customStyle="1" w:styleId="TableGrid0">
    <w:name w:val="Table Grid_0"/>
    <w:basedOn w:val="TableNormal"/>
    <w:uiPriority w:val="39"/>
    <w:rsid w:val="00EB4CEF"/>
    <w:rPr>
      <w:rFonts w:asciiTheme="minorHAnsi" w:eastAsiaTheme="minorHAnsi" w:hAnsiTheme="minorHAnsi" w:cstheme="minorBidi"/>
      <w:kern w:val="2"/>
      <w:sz w:val="24"/>
      <w:szCs w:val="24"/>
      <w:lang w:val="pt-BR"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EB4CEF"/>
    <w:pPr>
      <w:suppressAutoHyphens/>
    </w:pPr>
    <w:rPr>
      <w:rFonts w:asciiTheme="minorHAnsi" w:eastAsiaTheme="minorHAnsi" w:hAnsiTheme="minorHAnsi" w:cstheme="minorBidi"/>
      <w:kern w:val="2"/>
      <w:sz w:val="24"/>
      <w:szCs w:val="24"/>
      <w:lang w:val="pt-BR"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lattes.cnpq.br/2614264576630370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hyperlink" Target="http://lattes.cnpq.br/3107963339537100" TargetMode="External" /><Relationship Id="rId18" Type="http://schemas.openxmlformats.org/officeDocument/2006/relationships/hyperlink" Target="http://lattes.cnpq.br/2677023420205664" TargetMode="External" /><Relationship Id="rId19" Type="http://schemas.openxmlformats.org/officeDocument/2006/relationships/hyperlink" Target="http://lattes.cnpq.br/8096533106373011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://lattes.cnpq.br/2830701345342172" TargetMode="External" /><Relationship Id="rId21" Type="http://schemas.openxmlformats.org/officeDocument/2006/relationships/hyperlink" Target="http://lattes.cnpq.br/0111970900212948" TargetMode="External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hyperlink" Target="http://lattes.cnpq.br/7700061700590484" TargetMode="External" /><Relationship Id="rId25" Type="http://schemas.openxmlformats.org/officeDocument/2006/relationships/hyperlink" Target="http://lattes.cnpq.br/2160564643693951" TargetMode="External" /><Relationship Id="rId26" Type="http://schemas.openxmlformats.org/officeDocument/2006/relationships/header" Target="header5.xml" /><Relationship Id="rId27" Type="http://schemas.openxmlformats.org/officeDocument/2006/relationships/header" Target="header6.xml" /><Relationship Id="rId28" Type="http://schemas.openxmlformats.org/officeDocument/2006/relationships/footer" Target="footer5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header" Target="header7.xml" /><Relationship Id="rId31" Type="http://schemas.openxmlformats.org/officeDocument/2006/relationships/footer" Target="footer7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hyperlink" Target="http://lattes.cnpq.br/7017826279838774" TargetMode="External" /><Relationship Id="rId5" Type="http://schemas.openxmlformats.org/officeDocument/2006/relationships/hyperlink" Target="http://lattes.cnpq.br/4555597556940476" TargetMode="External" /><Relationship Id="rId6" Type="http://schemas.openxmlformats.org/officeDocument/2006/relationships/hyperlink" Target="http://lattes.cnpq.br/3977012652736750" TargetMode="External" /><Relationship Id="rId7" Type="http://schemas.openxmlformats.org/officeDocument/2006/relationships/hyperlink" Target="http://lattes.cnpq.br/7400589896303891" TargetMode="External" /><Relationship Id="rId8" Type="http://schemas.openxmlformats.org/officeDocument/2006/relationships/hyperlink" Target="http://lattes.cnpq.br/0259987728136294" TargetMode="External" /><Relationship Id="rId9" Type="http://schemas.openxmlformats.org/officeDocument/2006/relationships/hyperlink" Target="http://lattes.cnpq.br/3047609921235090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