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200" w:leftChars="100"/>
        <w:jc w:val="center"/>
        <w:rPr>
          <w:rFonts w:ascii="Times New Roman" w:hAnsi="Times New Roman" w:cs="Times New Roman"/>
          <w:b/>
          <w:bCs/>
          <w:sz w:val="24"/>
          <w:szCs w:val="24"/>
          <w:lang w:val="pt-BR"/>
        </w:rPr>
      </w:pPr>
      <w:bookmarkStart w:id="0" w:name="_GoBack"/>
      <w:bookmarkEnd w:id="0"/>
      <w:r>
        <w:rPr>
          <w:rFonts w:ascii="Times New Roman" w:hAnsi="Times New Roman" w:cs="Times New Roman"/>
          <w:b/>
          <w:bCs/>
          <w:sz w:val="24"/>
          <w:szCs w:val="24"/>
          <w:lang w:val="pt-BR"/>
        </w:rPr>
        <w:t>QUALIDADE DE OÓCITOS CAPRINOS SUBMETIDOS A VITRIFICAÇÃO E CONGELAÇÃO LENTA</w:t>
      </w:r>
    </w:p>
    <w:p>
      <w:pPr>
        <w:spacing w:line="360" w:lineRule="auto"/>
        <w:jc w:val="center"/>
        <w:rPr>
          <w:rFonts w:ascii="Times New Roman" w:hAnsi="Times New Roman" w:cs="Times New Roman"/>
          <w:sz w:val="24"/>
          <w:szCs w:val="24"/>
          <w:lang w:val="pt-BR"/>
        </w:rPr>
      </w:pPr>
      <w:r>
        <w:rPr>
          <w:rFonts w:ascii="Times New Roman" w:hAnsi="Times New Roman" w:cs="Times New Roman"/>
          <w:sz w:val="24"/>
          <w:szCs w:val="24"/>
          <w:lang w:val="pt-BR"/>
        </w:rPr>
        <w:t>(</w:t>
      </w:r>
      <w:r>
        <w:rPr>
          <w:rFonts w:ascii="Times New Roman" w:hAnsi="Times New Roman" w:cs="Times New Roman"/>
          <w:i/>
          <w:iCs/>
          <w:sz w:val="24"/>
          <w:szCs w:val="24"/>
          <w:lang w:val="pt-BR"/>
        </w:rPr>
        <w:t>Q</w:t>
      </w:r>
      <w:r>
        <w:rPr>
          <w:rFonts w:ascii="Times New Roman" w:hAnsi="Times New Roman" w:cs="Times New Roman"/>
          <w:i/>
          <w:iCs/>
          <w:sz w:val="24"/>
          <w:szCs w:val="24"/>
        </w:rPr>
        <w:t xml:space="preserve">uality of caprine oocyts submitted </w:t>
      </w:r>
      <w:r>
        <w:rPr>
          <w:rFonts w:ascii="Times New Roman" w:hAnsi="Times New Roman" w:cs="Times New Roman"/>
          <w:i/>
          <w:iCs/>
          <w:sz w:val="24"/>
          <w:szCs w:val="24"/>
          <w:lang w:val="pt-BR"/>
        </w:rPr>
        <w:t>to vitrification and slow freezing</w:t>
      </w:r>
      <w:r>
        <w:rPr>
          <w:rFonts w:ascii="Times New Roman" w:hAnsi="Times New Roman" w:cs="Times New Roman"/>
          <w:sz w:val="24"/>
          <w:szCs w:val="24"/>
          <w:lang w:val="pt-BR"/>
        </w:rPr>
        <w:t>)</w:t>
      </w:r>
    </w:p>
    <w:p>
      <w:pPr>
        <w:spacing w:line="360" w:lineRule="auto"/>
        <w:ind w:left="200" w:leftChars="100"/>
        <w:jc w:val="center"/>
        <w:rPr>
          <w:rFonts w:ascii="Times New Roman" w:hAnsi="Times New Roman" w:cs="Times New Roman"/>
          <w:sz w:val="24"/>
          <w:szCs w:val="24"/>
          <w:vertAlign w:val="superscript"/>
          <w:lang w:val="pt-BR"/>
        </w:rPr>
      </w:pPr>
      <w:r>
        <w:rPr>
          <w:rFonts w:ascii="Times New Roman" w:hAnsi="Times New Roman" w:cs="Times New Roman"/>
          <w:sz w:val="24"/>
          <w:szCs w:val="24"/>
          <w:lang w:val="pt-BR"/>
        </w:rPr>
        <w:t>Marlene Sipaúba de OLIVEIRA</w:t>
      </w:r>
      <w:r>
        <w:rPr>
          <w:rFonts w:ascii="Times New Roman" w:hAnsi="Times New Roman" w:cs="Times New Roman"/>
          <w:sz w:val="24"/>
          <w:szCs w:val="24"/>
          <w:vertAlign w:val="superscript"/>
          <w:lang w:val="pt-BR"/>
        </w:rPr>
        <w:t>1</w:t>
      </w:r>
      <w:r>
        <w:rPr>
          <w:rFonts w:ascii="Times New Roman" w:hAnsi="Times New Roman" w:cs="Times New Roman"/>
          <w:sz w:val="24"/>
          <w:szCs w:val="24"/>
          <w:lang w:val="pt-BR"/>
        </w:rPr>
        <w:t>; Letícia Soares de Araújo TEIXEIRA</w:t>
      </w:r>
      <w:r>
        <w:rPr>
          <w:rFonts w:ascii="Times New Roman" w:hAnsi="Times New Roman" w:cs="Times New Roman"/>
          <w:sz w:val="24"/>
          <w:szCs w:val="24"/>
          <w:vertAlign w:val="superscript"/>
          <w:lang w:val="pt-BR"/>
        </w:rPr>
        <w:t>1</w:t>
      </w:r>
      <w:r>
        <w:rPr>
          <w:rFonts w:ascii="Times New Roman" w:hAnsi="Times New Roman" w:cs="Times New Roman"/>
          <w:sz w:val="24"/>
          <w:szCs w:val="24"/>
          <w:lang w:val="pt-BR"/>
        </w:rPr>
        <w:t>; Raissa Costa AMORIM</w:t>
      </w:r>
      <w:r>
        <w:rPr>
          <w:rFonts w:ascii="Times New Roman" w:hAnsi="Times New Roman" w:cs="Times New Roman"/>
          <w:sz w:val="24"/>
          <w:szCs w:val="24"/>
          <w:vertAlign w:val="superscript"/>
          <w:lang w:val="pt-BR"/>
        </w:rPr>
        <w:t>1*</w:t>
      </w:r>
      <w:r>
        <w:rPr>
          <w:rFonts w:ascii="Times New Roman" w:hAnsi="Times New Roman" w:cs="Times New Roman"/>
          <w:sz w:val="24"/>
          <w:szCs w:val="24"/>
          <w:lang w:val="pt-BR"/>
        </w:rPr>
        <w:t>; Polianna Rodrigues Rêgo de OLIVEIRA</w:t>
      </w:r>
      <w:r>
        <w:rPr>
          <w:rFonts w:ascii="Times New Roman" w:hAnsi="Times New Roman" w:cs="Times New Roman"/>
          <w:sz w:val="24"/>
          <w:szCs w:val="24"/>
          <w:vertAlign w:val="superscript"/>
          <w:lang w:val="pt-BR"/>
        </w:rPr>
        <w:t>1</w:t>
      </w:r>
      <w:r>
        <w:rPr>
          <w:rFonts w:ascii="Times New Roman" w:hAnsi="Times New Roman" w:cs="Times New Roman"/>
          <w:sz w:val="24"/>
          <w:szCs w:val="24"/>
          <w:lang w:val="pt-BR"/>
        </w:rPr>
        <w:t>; Ana Lys Bezerra Barradas MINEIRO</w:t>
      </w:r>
      <w:r>
        <w:rPr>
          <w:rFonts w:ascii="Times New Roman" w:hAnsi="Times New Roman" w:cs="Times New Roman"/>
          <w:sz w:val="24"/>
          <w:szCs w:val="24"/>
          <w:vertAlign w:val="superscript"/>
          <w:lang w:val="pt-BR"/>
        </w:rPr>
        <w:t>1</w:t>
      </w:r>
      <w:r>
        <w:rPr>
          <w:rFonts w:ascii="Times New Roman" w:hAnsi="Times New Roman" w:cs="Times New Roman"/>
          <w:sz w:val="24"/>
          <w:szCs w:val="24"/>
          <w:lang w:val="pt-BR"/>
        </w:rPr>
        <w:t>; Janaína de Fátima Saraiva CARDOSO</w:t>
      </w:r>
      <w:r>
        <w:rPr>
          <w:rFonts w:ascii="Times New Roman" w:hAnsi="Times New Roman" w:cs="Times New Roman"/>
          <w:sz w:val="24"/>
          <w:szCs w:val="24"/>
          <w:vertAlign w:val="superscript"/>
          <w:lang w:val="pt-BR"/>
        </w:rPr>
        <w:t>1</w:t>
      </w:r>
      <w:r>
        <w:rPr>
          <w:rFonts w:ascii="Times New Roman" w:hAnsi="Times New Roman" w:cs="Times New Roman"/>
          <w:sz w:val="24"/>
          <w:szCs w:val="24"/>
          <w:lang w:val="pt-BR"/>
        </w:rPr>
        <w:t>; Ney Rômulo de Oliveira PAULA</w:t>
      </w:r>
      <w:r>
        <w:rPr>
          <w:rFonts w:ascii="Times New Roman" w:hAnsi="Times New Roman" w:cs="Times New Roman"/>
          <w:sz w:val="24"/>
          <w:szCs w:val="24"/>
          <w:vertAlign w:val="superscript"/>
          <w:lang w:val="pt-BR"/>
        </w:rPr>
        <w:t>1</w:t>
      </w:r>
    </w:p>
    <w:p>
      <w:pPr>
        <w:spacing w:line="360" w:lineRule="auto"/>
        <w:jc w:val="center"/>
        <w:rPr>
          <w:rFonts w:ascii="Times New Roman" w:hAnsi="Times New Roman" w:eastAsia="SimSun" w:cs="Times New Roman"/>
          <w:sz w:val="22"/>
          <w:szCs w:val="22"/>
          <w:shd w:val="clear" w:color="auto" w:fill="FFFFFF"/>
          <w:lang w:val="pt-BR"/>
        </w:rPr>
      </w:pPr>
      <w:r>
        <w:rPr>
          <w:rFonts w:ascii="Times New Roman" w:hAnsi="Times New Roman" w:cs="Times New Roman"/>
          <w:sz w:val="22"/>
          <w:szCs w:val="22"/>
          <w:vertAlign w:val="superscript"/>
          <w:lang w:val="pt-BR"/>
        </w:rPr>
        <w:t>1</w:t>
      </w:r>
      <w:r>
        <w:rPr>
          <w:rFonts w:ascii="Times New Roman" w:hAnsi="Times New Roman" w:cs="Times New Roman"/>
          <w:sz w:val="22"/>
          <w:szCs w:val="22"/>
          <w:lang w:val="pt-BR"/>
        </w:rPr>
        <w:t xml:space="preserve">Universidade Federal do Piauí (UFPI), </w:t>
      </w:r>
      <w:r>
        <w:rPr>
          <w:rFonts w:ascii="Times New Roman" w:hAnsi="Times New Roman" w:eastAsia="SimSun" w:cs="Times New Roman"/>
          <w:sz w:val="22"/>
          <w:szCs w:val="22"/>
          <w:shd w:val="clear" w:color="auto" w:fill="FFFFFF"/>
        </w:rPr>
        <w:t xml:space="preserve">R. Dirce Oliveira, 3397 - Ininga, </w:t>
      </w:r>
      <w:r>
        <w:rPr>
          <w:rFonts w:ascii="Times New Roman" w:hAnsi="Times New Roman"/>
          <w:sz w:val="22"/>
          <w:szCs w:val="22"/>
        </w:rPr>
        <w:t>Petrônio Portela</w:t>
      </w:r>
      <w:r>
        <w:rPr>
          <w:rFonts w:ascii="Times New Roman" w:hAnsi="Times New Roman" w:eastAsia="SimSun" w:cs="Times New Roman"/>
          <w:sz w:val="22"/>
          <w:szCs w:val="22"/>
          <w:shd w:val="clear" w:color="auto" w:fill="FFFFFF"/>
          <w:lang w:val="pt-BR"/>
        </w:rPr>
        <w:t xml:space="preserve"> </w:t>
      </w:r>
      <w:r>
        <w:rPr>
          <w:rFonts w:ascii="Times New Roman" w:hAnsi="Times New Roman" w:eastAsia="SimSun" w:cs="Times New Roman"/>
          <w:sz w:val="22"/>
          <w:szCs w:val="22"/>
          <w:shd w:val="clear" w:color="auto" w:fill="FFFFFF"/>
        </w:rPr>
        <w:t>Teresina - PI, 64048-550</w:t>
      </w:r>
      <w:r>
        <w:rPr>
          <w:rFonts w:ascii="Times New Roman" w:hAnsi="Times New Roman" w:eastAsia="SimSun" w:cs="Times New Roman"/>
          <w:sz w:val="22"/>
          <w:szCs w:val="22"/>
          <w:shd w:val="clear" w:color="auto" w:fill="FFFFFF"/>
          <w:lang w:val="pt-BR"/>
        </w:rPr>
        <w:t>; E-mail:</w:t>
      </w:r>
      <w:r>
        <w:t xml:space="preserve"> </w:t>
      </w:r>
      <w:r>
        <w:rPr>
          <w:rFonts w:ascii="Times New Roman" w:hAnsi="Times New Roman" w:eastAsia="SimSun" w:cs="Times New Roman"/>
          <w:sz w:val="22"/>
          <w:szCs w:val="22"/>
          <w:shd w:val="clear" w:color="auto" w:fill="FFFFFF"/>
          <w:lang w:val="pt-BR"/>
        </w:rPr>
        <w:t>raissa.costa18@hotmail.com</w:t>
      </w:r>
    </w:p>
    <w:p>
      <w:pPr>
        <w:spacing w:line="360" w:lineRule="auto"/>
        <w:jc w:val="center"/>
        <w:rPr>
          <w:rFonts w:ascii="Times New Roman" w:hAnsi="Times New Roman" w:eastAsia="SimSun" w:cs="Times New Roman"/>
          <w:b/>
          <w:bCs/>
          <w:color w:val="222222"/>
          <w:sz w:val="24"/>
          <w:szCs w:val="24"/>
          <w:shd w:val="clear" w:color="auto" w:fill="FFFFFF"/>
          <w:lang w:val="pt-BR"/>
        </w:rPr>
      </w:pPr>
      <w:r>
        <w:rPr>
          <w:rFonts w:ascii="Times New Roman" w:hAnsi="Times New Roman" w:eastAsia="SimSun" w:cs="Times New Roman"/>
          <w:b/>
          <w:bCs/>
          <w:color w:val="222222"/>
          <w:sz w:val="24"/>
          <w:szCs w:val="24"/>
          <w:shd w:val="clear" w:color="auto" w:fill="FFFFFF"/>
          <w:lang w:val="pt-BR"/>
        </w:rPr>
        <w:t>RESUMO</w:t>
      </w:r>
    </w:p>
    <w:p>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Objetivou-se avaliar a qualidade dos oócitos caprinos submetidos à vitrificação e </w:t>
      </w:r>
      <w:r>
        <w:rPr>
          <w:rFonts w:ascii="Times New Roman" w:hAnsi="Times New Roman" w:cs="Times New Roman"/>
          <w:sz w:val="24"/>
          <w:szCs w:val="24"/>
          <w:lang w:val="pt-BR"/>
        </w:rPr>
        <w:t>congelação lenta</w:t>
      </w:r>
      <w:r>
        <w:rPr>
          <w:rFonts w:ascii="Times New Roman" w:hAnsi="Times New Roman" w:cs="Times New Roman"/>
          <w:sz w:val="24"/>
          <w:szCs w:val="24"/>
        </w:rPr>
        <w:t>. Foram coletados 422 oócitos de ovário</w:t>
      </w:r>
      <w:r>
        <w:rPr>
          <w:rFonts w:ascii="Times New Roman" w:hAnsi="Times New Roman" w:cs="Times New Roman"/>
          <w:sz w:val="24"/>
          <w:szCs w:val="24"/>
          <w:lang w:val="pt-BR"/>
        </w:rPr>
        <w:t>s</w:t>
      </w:r>
      <w:r>
        <w:rPr>
          <w:rFonts w:ascii="Times New Roman" w:hAnsi="Times New Roman" w:cs="Times New Roman"/>
          <w:sz w:val="24"/>
          <w:szCs w:val="24"/>
        </w:rPr>
        <w:t xml:space="preserve"> caprino</w:t>
      </w:r>
      <w:r>
        <w:rPr>
          <w:rFonts w:ascii="Times New Roman" w:hAnsi="Times New Roman" w:cs="Times New Roman"/>
          <w:sz w:val="24"/>
          <w:szCs w:val="24"/>
          <w:lang w:val="pt-BR"/>
        </w:rPr>
        <w:t>s</w:t>
      </w:r>
      <w:r>
        <w:rPr>
          <w:rFonts w:ascii="Times New Roman" w:hAnsi="Times New Roman" w:cs="Times New Roman"/>
          <w:sz w:val="24"/>
          <w:szCs w:val="24"/>
        </w:rPr>
        <w:t xml:space="preserve"> </w:t>
      </w:r>
      <w:r>
        <w:rPr>
          <w:rFonts w:ascii="Times New Roman" w:hAnsi="Times New Roman" w:cs="Times New Roman"/>
          <w:sz w:val="24"/>
          <w:szCs w:val="24"/>
          <w:lang w:val="pt-BR"/>
        </w:rPr>
        <w:t>oriundos de abatedouros locais de</w:t>
      </w:r>
      <w:r>
        <w:rPr>
          <w:rFonts w:ascii="Times New Roman" w:hAnsi="Times New Roman" w:cs="Times New Roman"/>
          <w:sz w:val="24"/>
          <w:szCs w:val="24"/>
        </w:rPr>
        <w:t xml:space="preserve"> Teresina, Piauí, Brasil</w:t>
      </w:r>
      <w:r>
        <w:rPr>
          <w:rFonts w:ascii="Times New Roman" w:hAnsi="Times New Roman" w:cs="Times New Roman"/>
          <w:sz w:val="24"/>
          <w:szCs w:val="24"/>
          <w:lang w:val="pt-BR"/>
        </w:rPr>
        <w:t xml:space="preserve">. Os grupos foram formados por oócitos com citoplasma uniformes, ligeiramente granulados e coloração homogênea.  </w:t>
      </w:r>
      <w:r>
        <w:rPr>
          <w:rFonts w:ascii="Times New Roman" w:hAnsi="Times New Roman" w:cs="Times New Roman"/>
          <w:sz w:val="24"/>
          <w:szCs w:val="24"/>
        </w:rPr>
        <w:t>GRUPO 1 (vitrificação), GRUPO 2 (congela</w:t>
      </w:r>
      <w:r>
        <w:rPr>
          <w:rFonts w:ascii="Times New Roman" w:hAnsi="Times New Roman" w:cs="Times New Roman"/>
          <w:sz w:val="24"/>
          <w:szCs w:val="24"/>
          <w:lang w:val="pt-BR"/>
        </w:rPr>
        <w:t>ção</w:t>
      </w:r>
      <w:r>
        <w:rPr>
          <w:rFonts w:ascii="Times New Roman" w:hAnsi="Times New Roman" w:cs="Times New Roman"/>
          <w:sz w:val="24"/>
          <w:szCs w:val="24"/>
        </w:rPr>
        <w:t xml:space="preserve"> lent</w:t>
      </w:r>
      <w:r>
        <w:rPr>
          <w:rFonts w:ascii="Times New Roman" w:hAnsi="Times New Roman" w:cs="Times New Roman"/>
          <w:sz w:val="24"/>
          <w:szCs w:val="24"/>
          <w:lang w:val="pt-BR"/>
        </w:rPr>
        <w:t>a</w:t>
      </w:r>
      <w:r>
        <w:rPr>
          <w:rFonts w:ascii="Times New Roman" w:hAnsi="Times New Roman" w:cs="Times New Roman"/>
          <w:sz w:val="24"/>
          <w:szCs w:val="24"/>
        </w:rPr>
        <w:t>) e GRUPO 3 (oócitos frescos).</w:t>
      </w:r>
      <w:r>
        <w:rPr>
          <w:rFonts w:ascii="Times New Roman" w:hAnsi="Times New Roman" w:cs="Times New Roman"/>
          <w:sz w:val="24"/>
          <w:szCs w:val="24"/>
          <w:lang w:val="pt-BR"/>
        </w:rPr>
        <w:t xml:space="preserve"> Na avaliação dos métodos de criopreservação,</w:t>
      </w:r>
      <w:r>
        <w:rPr>
          <w:rFonts w:ascii="Times New Roman" w:hAnsi="Times New Roman"/>
          <w:sz w:val="24"/>
          <w:szCs w:val="24"/>
          <w:lang w:val="pt-BR"/>
        </w:rPr>
        <w:t xml:space="preserve"> o grupo </w:t>
      </w:r>
      <w:r>
        <w:rPr>
          <w:rFonts w:ascii="Times New Roman" w:hAnsi="Times New Roman"/>
          <w:sz w:val="24"/>
          <w:szCs w:val="24"/>
        </w:rPr>
        <w:t>d</w:t>
      </w:r>
      <w:r>
        <w:rPr>
          <w:rFonts w:ascii="Times New Roman" w:hAnsi="Times New Roman"/>
          <w:sz w:val="24"/>
          <w:szCs w:val="24"/>
          <w:lang w:val="pt-BR"/>
        </w:rPr>
        <w:t>e</w:t>
      </w:r>
      <w:r>
        <w:rPr>
          <w:rFonts w:ascii="Times New Roman" w:hAnsi="Times New Roman"/>
          <w:sz w:val="24"/>
          <w:szCs w:val="24"/>
        </w:rPr>
        <w:t xml:space="preserve"> oócitos vitrificados </w:t>
      </w:r>
      <w:r>
        <w:rPr>
          <w:rFonts w:ascii="Times New Roman" w:hAnsi="Times New Roman"/>
          <w:sz w:val="24"/>
          <w:szCs w:val="24"/>
          <w:lang w:val="pt-BR"/>
        </w:rPr>
        <w:t xml:space="preserve">apresentou melhores resultados, pois </w:t>
      </w:r>
      <w:r>
        <w:rPr>
          <w:rFonts w:ascii="Times New Roman" w:hAnsi="Times New Roman"/>
          <w:sz w:val="24"/>
          <w:szCs w:val="24"/>
        </w:rPr>
        <w:t>obteve menor taxa de oócitos degenerados (14,3%) quando comprado com os oócitos que passaram pelo método de congelação lenta (</w:t>
      </w:r>
      <w:r>
        <w:rPr>
          <w:rFonts w:ascii="Times New Roman" w:hAnsi="Times New Roman"/>
          <w:sz w:val="24"/>
          <w:szCs w:val="24"/>
          <w:lang w:val="pt-BR"/>
        </w:rPr>
        <w:t>26,6</w:t>
      </w:r>
      <w:r>
        <w:rPr>
          <w:rFonts w:ascii="Times New Roman" w:hAnsi="Times New Roman"/>
          <w:sz w:val="24"/>
          <w:szCs w:val="24"/>
        </w:rPr>
        <w:t>%).</w:t>
      </w:r>
      <w:r>
        <w:rPr>
          <w:rFonts w:ascii="Times New Roman" w:hAnsi="Times New Roman"/>
          <w:sz w:val="24"/>
          <w:szCs w:val="24"/>
          <w:lang w:val="pt-BR"/>
        </w:rPr>
        <w:t xml:space="preserve"> </w:t>
      </w:r>
      <w:r>
        <w:rPr>
          <w:rFonts w:ascii="Times New Roman" w:hAnsi="Times New Roman" w:cs="Times New Roman"/>
          <w:sz w:val="24"/>
          <w:szCs w:val="24"/>
        </w:rPr>
        <w:t xml:space="preserve">De acordo com o estudo, o método de vitrificação causa menos danos aos oócitos, indicando </w:t>
      </w:r>
      <w:r>
        <w:rPr>
          <w:rFonts w:ascii="Times New Roman" w:hAnsi="Times New Roman" w:cs="Times New Roman"/>
          <w:sz w:val="24"/>
          <w:szCs w:val="24"/>
          <w:lang w:val="pt-BR"/>
        </w:rPr>
        <w:t xml:space="preserve">ser o método </w:t>
      </w:r>
      <w:r>
        <w:rPr>
          <w:rFonts w:ascii="Times New Roman" w:hAnsi="Times New Roman" w:cs="Times New Roman"/>
          <w:sz w:val="24"/>
          <w:szCs w:val="24"/>
        </w:rPr>
        <w:t>de escolha na criopreservação d</w:t>
      </w:r>
      <w:r>
        <w:rPr>
          <w:rFonts w:ascii="Times New Roman" w:hAnsi="Times New Roman" w:cs="Times New Roman"/>
          <w:sz w:val="24"/>
          <w:szCs w:val="24"/>
          <w:lang w:val="pt-BR"/>
        </w:rPr>
        <w:t>e</w:t>
      </w:r>
      <w:r>
        <w:rPr>
          <w:rFonts w:ascii="Times New Roman" w:hAnsi="Times New Roman" w:cs="Times New Roman"/>
          <w:sz w:val="24"/>
          <w:szCs w:val="24"/>
        </w:rPr>
        <w:t xml:space="preserve"> oócitos</w:t>
      </w:r>
      <w:r>
        <w:rPr>
          <w:rFonts w:ascii="Times New Roman" w:hAnsi="Times New Roman" w:cs="Times New Roman"/>
          <w:sz w:val="24"/>
          <w:szCs w:val="24"/>
          <w:lang w:val="pt-BR"/>
        </w:rPr>
        <w:t xml:space="preserve"> caprinos</w:t>
      </w:r>
      <w:r>
        <w:rPr>
          <w:rFonts w:ascii="Times New Roman" w:hAnsi="Times New Roman" w:cs="Times New Roman"/>
          <w:sz w:val="24"/>
          <w:szCs w:val="24"/>
        </w:rPr>
        <w:t>.</w:t>
      </w:r>
    </w:p>
    <w:p>
      <w:pPr>
        <w:autoSpaceDE w:val="0"/>
        <w:autoSpaceDN w:val="0"/>
        <w:adjustRightInd w:val="0"/>
        <w:spacing w:line="360" w:lineRule="auto"/>
        <w:jc w:val="both"/>
        <w:rPr>
          <w:rFonts w:ascii="Times New Roman" w:hAnsi="Times New Roman" w:cs="Times New Roman"/>
          <w:sz w:val="24"/>
          <w:szCs w:val="24"/>
          <w:lang w:val="pt-BR"/>
        </w:rPr>
      </w:pPr>
      <w:r>
        <w:rPr>
          <w:rFonts w:ascii="Times New Roman" w:hAnsi="Times New Roman" w:cs="Times New Roman"/>
          <w:b/>
          <w:bCs/>
          <w:sz w:val="24"/>
          <w:szCs w:val="24"/>
          <w:lang w:val="pt-BR"/>
        </w:rPr>
        <w:t>Palavras-chave</w:t>
      </w:r>
      <w:r>
        <w:rPr>
          <w:rFonts w:ascii="Times New Roman" w:hAnsi="Times New Roman" w:cs="Times New Roman"/>
          <w:sz w:val="24"/>
          <w:szCs w:val="24"/>
          <w:lang w:val="pt-BR"/>
        </w:rPr>
        <w:t>: Oócitos caprinos, vitrificação, congelação lenta.</w:t>
      </w:r>
    </w:p>
    <w:p>
      <w:pPr>
        <w:spacing w:line="360" w:lineRule="auto"/>
        <w:jc w:val="center"/>
        <w:rPr>
          <w:rFonts w:ascii="Times New Roman" w:hAnsi="Times New Roman" w:eastAsia="SimSun" w:cs="Times New Roman"/>
          <w:b/>
          <w:bCs/>
          <w:color w:val="222222"/>
          <w:sz w:val="24"/>
          <w:szCs w:val="24"/>
          <w:shd w:val="clear" w:color="auto" w:fill="FFFFFF"/>
          <w:lang w:val="pt-BR"/>
        </w:rPr>
      </w:pPr>
      <w:r>
        <w:rPr>
          <w:rFonts w:ascii="Times New Roman" w:hAnsi="Times New Roman" w:eastAsia="SimSun" w:cs="Times New Roman"/>
          <w:b/>
          <w:bCs/>
          <w:color w:val="222222"/>
          <w:sz w:val="24"/>
          <w:szCs w:val="24"/>
          <w:shd w:val="clear" w:color="auto" w:fill="FFFFFF"/>
          <w:lang w:val="pt-BR"/>
        </w:rPr>
        <w:t>ABSTRACT</w:t>
      </w:r>
    </w:p>
    <w:p>
      <w:pPr>
        <w:spacing w:after="0" w:line="360" w:lineRule="auto"/>
        <w:jc w:val="both"/>
        <w:rPr>
          <w:rFonts w:ascii="Times New Roman" w:hAnsi="Times New Roman" w:cs="Times New Roman"/>
          <w:sz w:val="24"/>
          <w:szCs w:val="24"/>
          <w:lang w:val="pt-BR"/>
        </w:rPr>
      </w:pPr>
      <w:r>
        <w:rPr>
          <w:rFonts w:ascii="Times New Roman" w:hAnsi="Times New Roman" w:cs="Times New Roman"/>
          <w:sz w:val="24"/>
          <w:szCs w:val="24"/>
          <w:lang w:val="pt-BR"/>
        </w:rPr>
        <w:t>The objective was to evaluate the quality of goat oocytes submitted to vitrification and slow freezing. 422 goat ovary oocytes were collected from local slaughterhouses in Teresina, Piauí, Brazil. The groups were formed by oocytes with uniform, slightly granulated cytoplasm and homogeneous staining. GROUP 1 (vitrification), GROUP 2 (slow freezing) and GROUP 3 (fresh oocytes). In the evaluation of cryopreservation methods, the group of vitrified oocytes showed better results, as it obtained a lower rate of degenerate oocytes (14,3%) when purchased with oocytes that passed through the slow freezing method (26,6%). According to the study, the vitrification method causes less damage to the oocytes, indicating that it is the procedure of choice in the cryopreservation of the goat oocytes.</w:t>
      </w:r>
    </w:p>
    <w:p>
      <w:pPr>
        <w:spacing w:line="360" w:lineRule="auto"/>
        <w:jc w:val="both"/>
        <w:rPr>
          <w:rFonts w:ascii="Times New Roman" w:hAnsi="Times New Roman" w:cs="Times New Roman"/>
          <w:sz w:val="24"/>
          <w:szCs w:val="24"/>
          <w:lang w:val="pt-BR"/>
        </w:rPr>
      </w:pPr>
      <w:r>
        <w:rPr>
          <w:rFonts w:ascii="Times New Roman" w:hAnsi="Times New Roman" w:cs="Times New Roman"/>
          <w:b/>
          <w:bCs/>
          <w:sz w:val="24"/>
          <w:szCs w:val="24"/>
          <w:lang w:val="pt-BR"/>
        </w:rPr>
        <w:t>Key words</w:t>
      </w:r>
      <w:r>
        <w:rPr>
          <w:rFonts w:ascii="Times New Roman" w:hAnsi="Times New Roman" w:cs="Times New Roman"/>
          <w:sz w:val="24"/>
          <w:szCs w:val="24"/>
          <w:lang w:val="pt-BR"/>
        </w:rPr>
        <w:t>: Goat oocytes, glazing, slow freezing.</w:t>
      </w:r>
    </w:p>
    <w:p>
      <w:pPr>
        <w:spacing w:line="360" w:lineRule="auto"/>
        <w:jc w:val="center"/>
        <w:rPr>
          <w:rFonts w:ascii="Times New Roman" w:hAnsi="Times New Roman" w:eastAsia="SimSun" w:cs="Times New Roman"/>
          <w:b/>
          <w:bCs/>
          <w:color w:val="222222"/>
          <w:sz w:val="24"/>
          <w:szCs w:val="24"/>
          <w:shd w:val="clear" w:color="auto" w:fill="FFFFFF"/>
          <w:lang w:val="pt-BR"/>
        </w:rPr>
      </w:pPr>
      <w:r>
        <w:rPr>
          <w:rFonts w:ascii="Times New Roman" w:hAnsi="Times New Roman" w:eastAsia="SimSun" w:cs="Times New Roman"/>
          <w:b/>
          <w:bCs/>
          <w:color w:val="222222"/>
          <w:sz w:val="24"/>
          <w:szCs w:val="24"/>
          <w:shd w:val="clear" w:color="auto" w:fill="FFFFFF"/>
          <w:lang w:val="pt-BR"/>
        </w:rPr>
        <w:t>INTRODUÇÃO</w:t>
      </w:r>
    </w:p>
    <w:p>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O sucesso da criopreservação de oócitos de mamíferos tem grande relevância para as biotecnologias reprodutivas da pecuária e para banco de germoplasma feminino (PRENTICE</w:t>
      </w:r>
      <w:r>
        <w:rPr>
          <w:rFonts w:ascii="Times New Roman" w:hAnsi="Times New Roman"/>
          <w:sz w:val="24"/>
          <w:szCs w:val="24"/>
          <w:lang w:val="pt-BR"/>
        </w:rPr>
        <w:t xml:space="preserve"> e </w:t>
      </w:r>
      <w:r>
        <w:rPr>
          <w:rFonts w:ascii="Times New Roman" w:hAnsi="Times New Roman"/>
          <w:sz w:val="24"/>
          <w:szCs w:val="24"/>
        </w:rPr>
        <w:t xml:space="preserve">ANZAR, 2011). A criopreservação pode auxiliar no intercâmbio internacional de ótimos germoplasmas, e possivelmente evitar lesões e ricos sanitários envolvidos no transporte de animais.  Pode ser associada a produção </w:t>
      </w:r>
      <w:r>
        <w:rPr>
          <w:rFonts w:ascii="Times New Roman" w:hAnsi="Times New Roman"/>
          <w:i/>
          <w:sz w:val="24"/>
          <w:szCs w:val="24"/>
        </w:rPr>
        <w:t>in vitro</w:t>
      </w:r>
      <w:r>
        <w:rPr>
          <w:rFonts w:ascii="Times New Roman" w:hAnsi="Times New Roman"/>
          <w:sz w:val="24"/>
          <w:szCs w:val="24"/>
        </w:rPr>
        <w:t xml:space="preserve"> de embriões permitido alta eficiência reprodutiva, ademais da preservação do material genético de animais de alto valor e em extinção</w:t>
      </w:r>
      <w:r>
        <w:rPr>
          <w:rFonts w:ascii="Times New Roman" w:hAnsi="Times New Roman"/>
          <w:color w:val="FFC000"/>
          <w:sz w:val="24"/>
          <w:szCs w:val="24"/>
        </w:rPr>
        <w:t xml:space="preserve"> </w:t>
      </w:r>
      <w:r>
        <w:rPr>
          <w:rFonts w:ascii="Times New Roman" w:hAnsi="Times New Roman"/>
          <w:sz w:val="24"/>
          <w:szCs w:val="24"/>
        </w:rPr>
        <w:t>(PEREIRA</w:t>
      </w:r>
      <w:r>
        <w:rPr>
          <w:rFonts w:ascii="Times New Roman" w:hAnsi="Times New Roman"/>
          <w:sz w:val="24"/>
          <w:szCs w:val="24"/>
          <w:lang w:val="pt-BR"/>
        </w:rPr>
        <w:t xml:space="preserve"> e</w:t>
      </w:r>
      <w:r>
        <w:rPr>
          <w:rFonts w:ascii="Times New Roman" w:hAnsi="Times New Roman"/>
          <w:sz w:val="24"/>
          <w:szCs w:val="24"/>
        </w:rPr>
        <w:t xml:space="preserve"> MARQUES, 2008</w:t>
      </w:r>
      <w:r>
        <w:rPr>
          <w:rFonts w:ascii="Times New Roman" w:hAnsi="Times New Roman"/>
          <w:sz w:val="24"/>
          <w:szCs w:val="24"/>
          <w:lang w:val="pt-BR"/>
        </w:rPr>
        <w:t>)</w:t>
      </w:r>
      <w:r>
        <w:rPr>
          <w:rFonts w:ascii="Times New Roman" w:hAnsi="Times New Roman"/>
          <w:sz w:val="24"/>
          <w:szCs w:val="24"/>
        </w:rPr>
        <w:t>.</w:t>
      </w:r>
    </w:p>
    <w:p>
      <w:pPr>
        <w:autoSpaceDE w:val="0"/>
        <w:autoSpaceDN w:val="0"/>
        <w:adjustRightInd w:val="0"/>
        <w:spacing w:after="0" w:line="360" w:lineRule="auto"/>
        <w:ind w:firstLine="967" w:firstLineChars="403"/>
        <w:jc w:val="both"/>
        <w:rPr>
          <w:rFonts w:ascii="Times New Roman" w:hAnsi="Times New Roman" w:eastAsia="TimesNewRomanPSMT"/>
          <w:sz w:val="24"/>
          <w:szCs w:val="24"/>
        </w:rPr>
      </w:pPr>
      <w:r>
        <w:rPr>
          <w:rFonts w:ascii="Times New Roman" w:hAnsi="Times New Roman"/>
          <w:sz w:val="24"/>
          <w:szCs w:val="24"/>
          <w:lang w:val="pt-BR"/>
        </w:rPr>
        <w:t>Mesmo com sua grande importância, devemos levar em conta que a</w:t>
      </w:r>
      <w:r>
        <w:rPr>
          <w:rFonts w:ascii="Times New Roman" w:hAnsi="Times New Roman"/>
          <w:sz w:val="24"/>
          <w:szCs w:val="24"/>
        </w:rPr>
        <w:t xml:space="preserve"> criopreservação pode danificar seriamente a estrutura do oócito</w:t>
      </w:r>
      <w:r>
        <w:rPr>
          <w:rFonts w:ascii="Times New Roman" w:hAnsi="Times New Roman"/>
          <w:sz w:val="24"/>
          <w:szCs w:val="24"/>
          <w:lang w:val="pt-BR"/>
        </w:rPr>
        <w:t>s</w:t>
      </w:r>
      <w:r>
        <w:rPr>
          <w:rFonts w:ascii="Times New Roman" w:hAnsi="Times New Roman"/>
          <w:sz w:val="24"/>
          <w:szCs w:val="24"/>
        </w:rPr>
        <w:t xml:space="preserve"> do mamíferos, a função fisiológica e a capacidade de fertilização </w:t>
      </w:r>
      <w:r>
        <w:rPr>
          <w:rFonts w:ascii="Times New Roman" w:hAnsi="Times New Roman"/>
          <w:i/>
          <w:iCs/>
          <w:sz w:val="24"/>
          <w:szCs w:val="24"/>
        </w:rPr>
        <w:t>in vitr</w:t>
      </w:r>
      <w:r>
        <w:rPr>
          <w:rFonts w:ascii="Times New Roman" w:hAnsi="Times New Roman"/>
          <w:sz w:val="24"/>
          <w:szCs w:val="24"/>
        </w:rPr>
        <w:t>o (FIV) e seu desenvolvimento (KUWAYAMA, 2007)</w:t>
      </w:r>
      <w:r>
        <w:rPr>
          <w:rFonts w:ascii="Times New Roman" w:hAnsi="Times New Roman" w:eastAsia="TimesNewRomanPSMT"/>
          <w:sz w:val="24"/>
          <w:szCs w:val="24"/>
        </w:rPr>
        <w:t xml:space="preserve">. Todavia </w:t>
      </w:r>
      <w:r>
        <w:rPr>
          <w:rFonts w:ascii="Times New Roman" w:hAnsi="Times New Roman"/>
          <w:sz w:val="24"/>
          <w:szCs w:val="24"/>
        </w:rPr>
        <w:t>o êxito dessa técnica segue uma delicada e complexa interação entre importantes variáveis,</w:t>
      </w:r>
      <w:r>
        <w:rPr>
          <w:rFonts w:ascii="Times New Roman" w:hAnsi="Times New Roman" w:eastAsia="TimesNewRomanPSMT"/>
          <w:sz w:val="24"/>
          <w:szCs w:val="24"/>
        </w:rPr>
        <w:t xml:space="preserve"> </w:t>
      </w:r>
      <w:r>
        <w:rPr>
          <w:rFonts w:ascii="Times New Roman" w:hAnsi="Times New Roman"/>
          <w:sz w:val="24"/>
          <w:szCs w:val="24"/>
        </w:rPr>
        <w:t>envolvendo fatores físicos e químicos e adição de substâncias que proporcionem uma crioproteção celular durante a redução da temperatura (VAJTA</w:t>
      </w:r>
      <w:r>
        <w:rPr>
          <w:rFonts w:ascii="Times New Roman" w:hAnsi="Times New Roman"/>
          <w:sz w:val="24"/>
          <w:szCs w:val="24"/>
          <w:lang w:val="pt-BR"/>
        </w:rPr>
        <w:t xml:space="preserve"> </w:t>
      </w:r>
      <w:r>
        <w:rPr>
          <w:rFonts w:ascii="Times New Roman" w:hAnsi="Times New Roman"/>
          <w:i/>
          <w:iCs/>
          <w:sz w:val="24"/>
          <w:szCs w:val="24"/>
          <w:lang w:val="pt-BR"/>
        </w:rPr>
        <w:t>et al</w:t>
      </w:r>
      <w:r>
        <w:rPr>
          <w:rFonts w:ascii="Times New Roman" w:hAnsi="Times New Roman"/>
          <w:sz w:val="24"/>
          <w:szCs w:val="24"/>
          <w:lang w:val="pt-BR"/>
        </w:rPr>
        <w:t>.,</w:t>
      </w:r>
      <w:r>
        <w:rPr>
          <w:rFonts w:ascii="Times New Roman" w:hAnsi="Times New Roman"/>
          <w:sz w:val="24"/>
          <w:szCs w:val="24"/>
        </w:rPr>
        <w:t xml:space="preserve"> 2007). Os</w:t>
      </w:r>
      <w:r>
        <w:rPr>
          <w:rFonts w:ascii="Times New Roman" w:hAnsi="Times New Roman" w:eastAsia="TimesNewRomanPSMT"/>
          <w:sz w:val="24"/>
          <w:szCs w:val="24"/>
        </w:rPr>
        <w:t xml:space="preserve"> crioprotetores impedem a formação de cristais de gelo e o choque osmótico e oxidativo, atuando na estabilização da membrana celular (SANTOS</w:t>
      </w:r>
      <w:r>
        <w:rPr>
          <w:rFonts w:ascii="Times New Roman" w:hAnsi="Times New Roman" w:eastAsia="TimesNewRomanPSMT"/>
          <w:sz w:val="24"/>
          <w:szCs w:val="24"/>
          <w:lang w:val="pt-BR"/>
        </w:rPr>
        <w:t xml:space="preserve"> </w:t>
      </w:r>
      <w:r>
        <w:rPr>
          <w:rFonts w:ascii="Times New Roman" w:hAnsi="Times New Roman"/>
          <w:i/>
          <w:iCs/>
          <w:sz w:val="24"/>
          <w:szCs w:val="24"/>
          <w:lang w:val="pt-BR"/>
        </w:rPr>
        <w:t>et al</w:t>
      </w:r>
      <w:r>
        <w:rPr>
          <w:rFonts w:ascii="Times New Roman" w:hAnsi="Times New Roman"/>
          <w:sz w:val="24"/>
          <w:szCs w:val="24"/>
          <w:lang w:val="pt-BR"/>
        </w:rPr>
        <w:t>.,</w:t>
      </w:r>
      <w:r>
        <w:rPr>
          <w:rFonts w:ascii="Times New Roman" w:hAnsi="Times New Roman" w:eastAsia="TimesNewRomanPSMT"/>
          <w:sz w:val="24"/>
          <w:szCs w:val="24"/>
        </w:rPr>
        <w:t xml:space="preserve"> 2008).</w:t>
      </w:r>
    </w:p>
    <w:p>
      <w:pPr>
        <w:autoSpaceDE w:val="0"/>
        <w:autoSpaceDN w:val="0"/>
        <w:adjustRightInd w:val="0"/>
        <w:spacing w:line="360" w:lineRule="auto"/>
        <w:ind w:firstLine="708"/>
        <w:jc w:val="both"/>
        <w:rPr>
          <w:rFonts w:ascii="Times New Roman" w:hAnsi="Times New Roman" w:eastAsia="TimesNewRomanPSMT"/>
          <w:sz w:val="24"/>
          <w:szCs w:val="24"/>
        </w:rPr>
      </w:pPr>
      <w:r>
        <w:rPr>
          <w:rFonts w:ascii="Times New Roman" w:hAnsi="Times New Roman"/>
          <w:sz w:val="24"/>
          <w:szCs w:val="24"/>
        </w:rPr>
        <w:t>Diante</w:t>
      </w:r>
      <w:r>
        <w:rPr>
          <w:rFonts w:ascii="Times New Roman" w:hAnsi="Times New Roman"/>
          <w:sz w:val="24"/>
          <w:szCs w:val="24"/>
          <w:lang w:val="pt-BR"/>
        </w:rPr>
        <w:t xml:space="preserve"> da relevância e benefícios</w:t>
      </w:r>
      <w:r>
        <w:rPr>
          <w:rFonts w:ascii="Times New Roman" w:hAnsi="Times New Roman"/>
          <w:sz w:val="24"/>
          <w:szCs w:val="24"/>
        </w:rPr>
        <w:t xml:space="preserve"> </w:t>
      </w:r>
      <w:r>
        <w:rPr>
          <w:rFonts w:ascii="Times New Roman" w:hAnsi="Times New Roman"/>
          <w:sz w:val="24"/>
          <w:szCs w:val="24"/>
          <w:lang w:val="pt-BR"/>
        </w:rPr>
        <w:t>d</w:t>
      </w:r>
      <w:r>
        <w:rPr>
          <w:rFonts w:ascii="Times New Roman" w:hAnsi="Times New Roman"/>
          <w:sz w:val="24"/>
          <w:szCs w:val="24"/>
        </w:rPr>
        <w:t>a criopreservação de oócitos</w:t>
      </w:r>
      <w:r>
        <w:rPr>
          <w:rFonts w:ascii="Times New Roman" w:hAnsi="Times New Roman"/>
          <w:sz w:val="24"/>
          <w:szCs w:val="24"/>
          <w:lang w:val="pt-BR"/>
        </w:rPr>
        <w:t xml:space="preserve"> porporcionados para biotécnicas de reprodução, </w:t>
      </w:r>
      <w:r>
        <w:rPr>
          <w:rFonts w:ascii="Times New Roman" w:hAnsi="Times New Roman"/>
          <w:sz w:val="24"/>
          <w:szCs w:val="24"/>
        </w:rPr>
        <w:t>e</w:t>
      </w:r>
      <w:r>
        <w:rPr>
          <w:rFonts w:ascii="Times New Roman" w:hAnsi="Times New Roman"/>
          <w:sz w:val="24"/>
          <w:szCs w:val="24"/>
          <w:lang w:val="pt-BR"/>
        </w:rPr>
        <w:t xml:space="preserve"> a necessidade de escolha de protocolos ideais com relação a viabilidade oocitária, objetivou-se avaliar a qualidade de oócitos caprinos submetidos a vitrificação e congelação lenta. </w:t>
      </w:r>
    </w:p>
    <w:p>
      <w:pPr>
        <w:spacing w:line="360" w:lineRule="auto"/>
        <w:jc w:val="center"/>
        <w:rPr>
          <w:rFonts w:ascii="Times New Roman" w:hAnsi="Times New Roman" w:eastAsia="SimSun" w:cs="Times New Roman"/>
          <w:b/>
          <w:bCs/>
          <w:color w:val="222222"/>
          <w:sz w:val="24"/>
          <w:szCs w:val="24"/>
          <w:shd w:val="clear" w:color="auto" w:fill="FFFFFF"/>
          <w:lang w:val="pt-BR"/>
        </w:rPr>
      </w:pPr>
      <w:r>
        <w:rPr>
          <w:rFonts w:ascii="Times New Roman" w:hAnsi="Times New Roman" w:eastAsia="SimSun" w:cs="Times New Roman"/>
          <w:b/>
          <w:bCs/>
          <w:color w:val="222222"/>
          <w:sz w:val="24"/>
          <w:szCs w:val="24"/>
          <w:shd w:val="clear" w:color="auto" w:fill="FFFFFF"/>
          <w:lang w:val="pt-BR"/>
        </w:rPr>
        <w:t>MATERIAL E MÉTODOS</w:t>
      </w:r>
    </w:p>
    <w:p>
      <w:pPr>
        <w:autoSpaceDE w:val="0"/>
        <w:autoSpaceDN w:val="0"/>
        <w:adjustRightInd w:val="0"/>
        <w:spacing w:after="0" w:line="360" w:lineRule="auto"/>
        <w:ind w:firstLine="420"/>
        <w:jc w:val="both"/>
        <w:rPr>
          <w:rFonts w:ascii="Times New Roman" w:hAnsi="Times New Roman"/>
          <w:sz w:val="24"/>
          <w:szCs w:val="24"/>
        </w:rPr>
      </w:pPr>
      <w:r>
        <w:rPr>
          <w:rFonts w:ascii="Times New Roman" w:hAnsi="Times New Roman"/>
          <w:sz w:val="24"/>
          <w:szCs w:val="24"/>
          <w:lang w:val="pt-BR"/>
        </w:rPr>
        <w:t xml:space="preserve">O </w:t>
      </w:r>
      <w:r>
        <w:rPr>
          <w:rFonts w:ascii="Times New Roman" w:hAnsi="Times New Roman"/>
          <w:sz w:val="24"/>
          <w:szCs w:val="24"/>
        </w:rPr>
        <w:t>experimento foi conduzid</w:t>
      </w:r>
      <w:r>
        <w:rPr>
          <w:rFonts w:ascii="Times New Roman" w:hAnsi="Times New Roman"/>
          <w:sz w:val="24"/>
          <w:szCs w:val="24"/>
          <w:lang w:val="pt-BR"/>
        </w:rPr>
        <w:t>o</w:t>
      </w:r>
      <w:r>
        <w:rPr>
          <w:rFonts w:ascii="Times New Roman" w:hAnsi="Times New Roman"/>
          <w:sz w:val="24"/>
          <w:szCs w:val="24"/>
        </w:rPr>
        <w:t xml:space="preserve"> no Laboratório de Biotecnologias da Reprodução Animal da Universidade Federal do Piauí, </w:t>
      </w:r>
      <w:r>
        <w:rPr>
          <w:rFonts w:ascii="Times New Roman" w:hAnsi="Times New Roman"/>
          <w:i/>
          <w:sz w:val="24"/>
          <w:szCs w:val="24"/>
        </w:rPr>
        <w:t>Campus</w:t>
      </w:r>
      <w:r>
        <w:rPr>
          <w:rFonts w:ascii="Times New Roman" w:hAnsi="Times New Roman"/>
          <w:sz w:val="24"/>
          <w:szCs w:val="24"/>
        </w:rPr>
        <w:t xml:space="preserve"> Petrônio Portela, Teresina, Piauí</w:t>
      </w:r>
      <w:r>
        <w:rPr>
          <w:rFonts w:ascii="Times New Roman" w:hAnsi="Times New Roman"/>
          <w:sz w:val="24"/>
          <w:szCs w:val="24"/>
          <w:lang w:val="pt-BR"/>
        </w:rPr>
        <w:t>. A</w:t>
      </w:r>
      <w:r>
        <w:rPr>
          <w:rFonts w:ascii="Times New Roman" w:hAnsi="Times New Roman"/>
          <w:sz w:val="24"/>
          <w:szCs w:val="24"/>
        </w:rPr>
        <w:t>provado pela Comissão de Ética no Uso de Animais (CEUA/UFPI)</w:t>
      </w:r>
      <w:r>
        <w:rPr>
          <w:rFonts w:ascii="Times New Roman" w:hAnsi="Times New Roman"/>
          <w:sz w:val="24"/>
          <w:szCs w:val="24"/>
          <w:lang w:val="pt-BR"/>
        </w:rPr>
        <w:t>,</w:t>
      </w:r>
      <w:r>
        <w:rPr>
          <w:rFonts w:ascii="Times New Roman" w:hAnsi="Times New Roman"/>
          <w:sz w:val="24"/>
          <w:szCs w:val="24"/>
        </w:rPr>
        <w:t xml:space="preserve"> sob o número 386/17.</w:t>
      </w:r>
    </w:p>
    <w:p>
      <w:pPr>
        <w:autoSpaceDE w:val="0"/>
        <w:autoSpaceDN w:val="0"/>
        <w:adjustRightInd w:val="0"/>
        <w:spacing w:after="0" w:line="360" w:lineRule="auto"/>
        <w:ind w:left="142" w:firstLine="360"/>
        <w:jc w:val="both"/>
        <w:rPr>
          <w:rFonts w:ascii="Times New Roman" w:hAnsi="Times New Roman"/>
          <w:sz w:val="24"/>
          <w:szCs w:val="24"/>
          <w:lang w:val="pt-BR"/>
        </w:rPr>
      </w:pPr>
      <w:r>
        <w:rPr>
          <w:rFonts w:ascii="Times New Roman" w:hAnsi="Times New Roman"/>
          <w:sz w:val="24"/>
          <w:szCs w:val="24"/>
          <w:lang w:val="pt-BR"/>
        </w:rPr>
        <w:t xml:space="preserve">Os </w:t>
      </w:r>
      <w:r>
        <w:rPr>
          <w:rFonts w:ascii="Times New Roman" w:hAnsi="Times New Roman"/>
          <w:sz w:val="24"/>
          <w:szCs w:val="24"/>
        </w:rPr>
        <w:t xml:space="preserve">complexos </w:t>
      </w:r>
      <w:r>
        <w:rPr>
          <w:rFonts w:ascii="Times New Roman" w:hAnsi="Times New Roman"/>
          <w:i/>
          <w:sz w:val="24"/>
          <w:szCs w:val="24"/>
        </w:rPr>
        <w:t>cúmulos-</w:t>
      </w:r>
      <w:r>
        <w:rPr>
          <w:rFonts w:ascii="Times New Roman" w:hAnsi="Times New Roman"/>
          <w:sz w:val="24"/>
          <w:szCs w:val="24"/>
        </w:rPr>
        <w:t>oócitos</w:t>
      </w:r>
      <w:r>
        <w:rPr>
          <w:rFonts w:ascii="Times New Roman" w:hAnsi="Times New Roman"/>
          <w:sz w:val="24"/>
          <w:szCs w:val="24"/>
          <w:lang w:val="pt-BR"/>
        </w:rPr>
        <w:t xml:space="preserve"> (CCOs)</w:t>
      </w:r>
      <w:r>
        <w:rPr>
          <w:rFonts w:ascii="Times New Roman" w:hAnsi="Times New Roman"/>
          <w:sz w:val="24"/>
          <w:szCs w:val="24"/>
        </w:rPr>
        <w:t xml:space="preserve"> provenientes de 126 ovários de</w:t>
      </w:r>
      <w:r>
        <w:rPr>
          <w:rFonts w:ascii="Times New Roman" w:hAnsi="Times New Roman"/>
          <w:color w:val="FF0000"/>
          <w:sz w:val="24"/>
          <w:szCs w:val="24"/>
        </w:rPr>
        <w:t xml:space="preserve"> </w:t>
      </w:r>
      <w:r>
        <w:rPr>
          <w:rFonts w:ascii="Times New Roman" w:hAnsi="Times New Roman"/>
          <w:sz w:val="24"/>
          <w:szCs w:val="24"/>
        </w:rPr>
        <w:t>cabras oriundos de abatedouros locais</w:t>
      </w:r>
      <w:r>
        <w:rPr>
          <w:rFonts w:ascii="Times New Roman" w:hAnsi="Times New Roman"/>
          <w:sz w:val="24"/>
          <w:szCs w:val="24"/>
          <w:lang w:val="pt-BR"/>
        </w:rPr>
        <w:t xml:space="preserve"> de</w:t>
      </w:r>
      <w:r>
        <w:rPr>
          <w:rFonts w:ascii="Times New Roman" w:hAnsi="Times New Roman"/>
          <w:sz w:val="24"/>
          <w:szCs w:val="24"/>
        </w:rPr>
        <w:t xml:space="preserve"> Teresina-PI.</w:t>
      </w:r>
      <w:r>
        <w:rPr>
          <w:rFonts w:ascii="Times New Roman" w:hAnsi="Times New Roman"/>
          <w:sz w:val="24"/>
          <w:szCs w:val="24"/>
          <w:lang w:val="pt-BR"/>
        </w:rPr>
        <w:t xml:space="preserve"> Os</w:t>
      </w:r>
      <w:r>
        <w:rPr>
          <w:rFonts w:ascii="Times New Roman" w:hAnsi="Times New Roman"/>
          <w:sz w:val="24"/>
          <w:szCs w:val="24"/>
        </w:rPr>
        <w:t xml:space="preserve"> ovários colhidos foram transportados</w:t>
      </w:r>
      <w:r>
        <w:rPr>
          <w:rFonts w:ascii="Times New Roman" w:hAnsi="Times New Roman"/>
          <w:sz w:val="24"/>
          <w:szCs w:val="24"/>
          <w:lang w:val="pt-BR"/>
        </w:rPr>
        <w:t xml:space="preserve"> em </w:t>
      </w:r>
      <w:r>
        <w:rPr>
          <w:rFonts w:ascii="Times New Roman" w:hAnsi="Times New Roman"/>
          <w:sz w:val="24"/>
          <w:szCs w:val="24"/>
        </w:rPr>
        <w:t>solução salina fisiológica a 37°C acrescida de 40 mg/mL de sulfato de gentamicin</w:t>
      </w:r>
      <w:r>
        <w:rPr>
          <w:rFonts w:ascii="Times New Roman" w:hAnsi="Times New Roman"/>
          <w:sz w:val="24"/>
          <w:szCs w:val="24"/>
          <w:lang w:val="pt-BR"/>
        </w:rPr>
        <w:t xml:space="preserve">a. </w:t>
      </w:r>
    </w:p>
    <w:p>
      <w:pPr>
        <w:autoSpaceDE w:val="0"/>
        <w:autoSpaceDN w:val="0"/>
        <w:adjustRightInd w:val="0"/>
        <w:spacing w:line="360" w:lineRule="auto"/>
        <w:ind w:firstLine="420"/>
        <w:jc w:val="both"/>
        <w:rPr>
          <w:rFonts w:ascii="Times New Roman" w:hAnsi="Times New Roman"/>
          <w:color w:val="212121"/>
          <w:sz w:val="24"/>
          <w:szCs w:val="24"/>
          <w:lang w:val="pt-PT"/>
        </w:rPr>
      </w:pPr>
      <w:r>
        <w:rPr>
          <w:rFonts w:ascii="Times New Roman" w:hAnsi="Times New Roman"/>
          <w:sz w:val="24"/>
          <w:szCs w:val="24"/>
        </w:rPr>
        <w:t xml:space="preserve">As aspirações foram realizadas </w:t>
      </w:r>
      <w:r>
        <w:rPr>
          <w:rFonts w:ascii="Times New Roman" w:hAnsi="Times New Roman"/>
          <w:sz w:val="24"/>
          <w:szCs w:val="24"/>
          <w:lang w:val="pt-BR"/>
        </w:rPr>
        <w:t>com o uso</w:t>
      </w:r>
      <w:r>
        <w:rPr>
          <w:rFonts w:ascii="Times New Roman" w:hAnsi="Times New Roman"/>
          <w:sz w:val="24"/>
          <w:szCs w:val="24"/>
        </w:rPr>
        <w:t xml:space="preserve"> de bomba a vácuo </w:t>
      </w:r>
      <w:r>
        <w:rPr>
          <w:rFonts w:ascii="Times New Roman" w:hAnsi="Times New Roman"/>
          <w:sz w:val="24"/>
          <w:szCs w:val="24"/>
          <w:lang w:val="pt-BR"/>
        </w:rPr>
        <w:t>e</w:t>
      </w:r>
      <w:r>
        <w:rPr>
          <w:rFonts w:ascii="Times New Roman" w:hAnsi="Times New Roman"/>
          <w:sz w:val="24"/>
          <w:szCs w:val="24"/>
          <w:lang w:eastAsia="pt-BR"/>
        </w:rPr>
        <w:t xml:space="preserve"> selecionados oócitos com citoplasma uniforme, levemente granulado e coloração homogênea</w:t>
      </w:r>
      <w:r>
        <w:rPr>
          <w:rFonts w:ascii="Times New Roman" w:hAnsi="Times New Roman"/>
          <w:sz w:val="24"/>
          <w:szCs w:val="24"/>
        </w:rPr>
        <w:t xml:space="preserve"> em estereomicroscópio, sob aumentos de 10X e 40X</w:t>
      </w:r>
      <w:r>
        <w:rPr>
          <w:rFonts w:ascii="Times New Roman" w:hAnsi="Times New Roman"/>
          <w:sz w:val="24"/>
          <w:szCs w:val="24"/>
          <w:lang w:val="pt-BR"/>
        </w:rPr>
        <w:t>, seguidamente</w:t>
      </w:r>
      <w:r>
        <w:rPr>
          <w:rFonts w:ascii="Times New Roman" w:hAnsi="Times New Roman"/>
          <w:sz w:val="24"/>
          <w:szCs w:val="24"/>
        </w:rPr>
        <w:t xml:space="preserve"> foram transferidos par</w:t>
      </w:r>
      <w:r>
        <w:rPr>
          <w:rFonts w:ascii="Times New Roman" w:hAnsi="Times New Roman"/>
          <w:sz w:val="24"/>
          <w:szCs w:val="24"/>
          <w:lang w:val="pt-BR"/>
        </w:rPr>
        <w:t xml:space="preserve">a </w:t>
      </w:r>
      <w:r>
        <w:rPr>
          <w:rFonts w:ascii="Times New Roman" w:hAnsi="Times New Roman"/>
          <w:sz w:val="24"/>
          <w:szCs w:val="24"/>
        </w:rPr>
        <w:t>a</w:t>
      </w:r>
      <w:r>
        <w:rPr>
          <w:rFonts w:ascii="Times New Roman" w:hAnsi="Times New Roman"/>
          <w:sz w:val="24"/>
          <w:szCs w:val="24"/>
          <w:lang w:val="pt-BR"/>
        </w:rPr>
        <w:t>p</w:t>
      </w:r>
      <w:r>
        <w:rPr>
          <w:rFonts w:ascii="Times New Roman" w:hAnsi="Times New Roman"/>
          <w:sz w:val="24"/>
          <w:szCs w:val="24"/>
        </w:rPr>
        <w:t>lac</w:t>
      </w:r>
      <w:r>
        <w:rPr>
          <w:rFonts w:ascii="Times New Roman" w:hAnsi="Times New Roman"/>
          <w:sz w:val="24"/>
          <w:szCs w:val="24"/>
          <w:lang w:val="pt-BR"/>
        </w:rPr>
        <w:t>as</w:t>
      </w:r>
      <w:r>
        <w:rPr>
          <w:rFonts w:ascii="Times New Roman" w:hAnsi="Times New Roman"/>
          <w:sz w:val="24"/>
          <w:szCs w:val="24"/>
        </w:rPr>
        <w:t xml:space="preserve"> com gotas de</w:t>
      </w:r>
      <w:r>
        <w:rPr>
          <w:rFonts w:ascii="Times New Roman" w:hAnsi="Times New Roman"/>
          <w:sz w:val="24"/>
          <w:szCs w:val="24"/>
          <w:lang w:val="pt-BR"/>
        </w:rPr>
        <w:t xml:space="preserve"> </w:t>
      </w:r>
      <w:r>
        <w:rPr>
          <w:rFonts w:ascii="Times New Roman" w:hAnsi="Times New Roman"/>
          <w:sz w:val="24"/>
          <w:szCs w:val="24"/>
          <w:shd w:val="clear" w:color="auto" w:fill="FFFFFF"/>
        </w:rPr>
        <w:t>Dulbeco phosfhate buffered saline</w:t>
      </w:r>
      <w:r>
        <w:rPr>
          <w:rFonts w:ascii="Times New Roman" w:hAnsi="Times New Roman"/>
          <w:sz w:val="24"/>
          <w:szCs w:val="24"/>
        </w:rPr>
        <w:t xml:space="preserve"> (</w:t>
      </w:r>
      <w:r>
        <w:rPr>
          <w:rFonts w:ascii="Times New Roman" w:hAnsi="Times New Roman"/>
          <w:sz w:val="24"/>
          <w:szCs w:val="24"/>
          <w:lang w:val="pt-BR"/>
        </w:rPr>
        <w:t xml:space="preserve"> </w:t>
      </w:r>
      <w:r>
        <w:rPr>
          <w:rFonts w:ascii="Times New Roman" w:hAnsi="Times New Roman"/>
          <w:sz w:val="24"/>
          <w:szCs w:val="24"/>
        </w:rPr>
        <w:t>DPBS</w:t>
      </w:r>
      <w:r>
        <w:rPr>
          <w:rFonts w:ascii="Times New Roman" w:hAnsi="Times New Roman"/>
          <w:sz w:val="24"/>
          <w:szCs w:val="24"/>
          <w:lang w:val="pt-BR"/>
        </w:rPr>
        <w:t xml:space="preserve">) e divididos em três grupos: GRUPO 1 (vitrificação), os oócitos foram submetidos ao protocolo </w:t>
      </w:r>
      <w:r>
        <w:rPr>
          <w:rFonts w:ascii="Times New Roman" w:hAnsi="Times New Roman"/>
          <w:sz w:val="24"/>
          <w:szCs w:val="24"/>
          <w:lang w:eastAsia="pt-BR"/>
        </w:rPr>
        <w:t xml:space="preserve">do kit Cryotech® (Ortho Way, Fort Madison, EUA) desenvolvido para congelação ultrarrápido de oócitos e embriões humanos. </w:t>
      </w:r>
      <w:r>
        <w:rPr>
          <w:rFonts w:ascii="Times New Roman" w:hAnsi="Times New Roman"/>
          <w:sz w:val="24"/>
          <w:szCs w:val="24"/>
          <w:lang w:val="pt-BR"/>
        </w:rPr>
        <w:t>GRUPO 2 (congelação lenta), os oócitos f</w:t>
      </w:r>
      <w:r>
        <w:rPr>
          <w:rFonts w:ascii="Times New Roman" w:hAnsi="Times New Roman"/>
          <w:sz w:val="24"/>
          <w:szCs w:val="24"/>
        </w:rPr>
        <w:t>oram estabilizados em três (3) gotas de 200μL de etilenoglicol (EG, IMV Technologies, Campinas, SP, Brasil) a 0,5; 1,0 e 1,5 M por 5 minutos respectivamente</w:t>
      </w:r>
      <w:r>
        <w:rPr>
          <w:rFonts w:ascii="Times New Roman" w:hAnsi="Times New Roman"/>
          <w:sz w:val="24"/>
          <w:szCs w:val="24"/>
          <w:lang w:val="pt-BR"/>
        </w:rPr>
        <w:t>, seguidamente</w:t>
      </w:r>
      <w:r>
        <w:rPr>
          <w:rFonts w:ascii="Times New Roman" w:hAnsi="Times New Roman"/>
          <w:sz w:val="24"/>
          <w:szCs w:val="24"/>
        </w:rPr>
        <w:t xml:space="preserve"> foram envasados em grupos de 05 (cinco) a 10 (dez) em palhetas de 0,25 mL (IMV Technologies, Campinas, SP, Brasil) com EG a 1,5 M e colocados em máquina de congelação programável (TK 3000</w:t>
      </w:r>
      <w:r>
        <w:rPr>
          <w:rFonts w:ascii="Times New Roman" w:hAnsi="Times New Roman"/>
          <w:sz w:val="24"/>
          <w:szCs w:val="24"/>
          <w:vertAlign w:val="superscript"/>
        </w:rPr>
        <w:t>®</w:t>
      </w:r>
      <w:r>
        <w:rPr>
          <w:rFonts w:ascii="Times New Roman" w:hAnsi="Times New Roman"/>
          <w:sz w:val="24"/>
          <w:szCs w:val="24"/>
        </w:rPr>
        <w:t>, TK Tec. Congel. LTDA, Uberaba, MG, Brasil) e armazenadas em botijão criogênico.</w:t>
      </w:r>
      <w:r>
        <w:rPr>
          <w:rFonts w:ascii="Times New Roman" w:hAnsi="Times New Roman"/>
          <w:sz w:val="24"/>
          <w:szCs w:val="24"/>
          <w:lang w:val="pt-BR"/>
        </w:rPr>
        <w:t xml:space="preserve"> A</w:t>
      </w:r>
      <w:r>
        <w:rPr>
          <w:rFonts w:ascii="Times New Roman" w:hAnsi="Times New Roman"/>
          <w:sz w:val="24"/>
          <w:szCs w:val="24"/>
        </w:rPr>
        <w:t xml:space="preserve"> descongela</w:t>
      </w:r>
      <w:r>
        <w:rPr>
          <w:rFonts w:ascii="Times New Roman" w:hAnsi="Times New Roman"/>
          <w:sz w:val="24"/>
          <w:szCs w:val="24"/>
          <w:lang w:val="pt-BR"/>
        </w:rPr>
        <w:t>ção</w:t>
      </w:r>
      <w:r>
        <w:rPr>
          <w:rFonts w:ascii="Times New Roman" w:hAnsi="Times New Roman"/>
          <w:sz w:val="24"/>
          <w:szCs w:val="24"/>
        </w:rPr>
        <w:t xml:space="preserve"> (obedeceu a sequência inversa ao equilíbrio para congelação).</w:t>
      </w:r>
      <w:r>
        <w:rPr>
          <w:rFonts w:ascii="Times New Roman" w:hAnsi="Times New Roman"/>
          <w:sz w:val="24"/>
          <w:szCs w:val="24"/>
          <w:lang w:eastAsia="pt-BR"/>
        </w:rPr>
        <w:t xml:space="preserve"> GRUPO 3 (controle/frescos). </w:t>
      </w:r>
    </w:p>
    <w:p>
      <w:pPr>
        <w:spacing w:line="360" w:lineRule="auto"/>
        <w:jc w:val="center"/>
        <w:rPr>
          <w:rFonts w:ascii="Times New Roman" w:hAnsi="Times New Roman" w:eastAsia="SimSun" w:cs="Times New Roman"/>
          <w:b/>
          <w:bCs/>
          <w:color w:val="222222"/>
          <w:sz w:val="22"/>
          <w:szCs w:val="22"/>
          <w:shd w:val="clear" w:color="auto" w:fill="FFFFFF"/>
          <w:lang w:val="pt-BR"/>
        </w:rPr>
      </w:pPr>
      <w:r>
        <w:rPr>
          <w:rFonts w:ascii="Times New Roman" w:hAnsi="Times New Roman" w:eastAsia="SimSun" w:cs="Times New Roman"/>
          <w:b/>
          <w:bCs/>
          <w:color w:val="222222"/>
          <w:sz w:val="22"/>
          <w:szCs w:val="22"/>
          <w:shd w:val="clear" w:color="auto" w:fill="FFFFFF"/>
          <w:lang w:val="pt-BR"/>
        </w:rPr>
        <w:t>RESULTADOS E DISCUSSÃO</w:t>
      </w:r>
    </w:p>
    <w:p>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 xml:space="preserve"> Analisando os oócitos criopreservados (Ta</w:t>
      </w:r>
      <w:r>
        <w:rPr>
          <w:rFonts w:ascii="Times New Roman" w:hAnsi="Times New Roman"/>
          <w:sz w:val="24"/>
          <w:szCs w:val="24"/>
          <w:lang w:val="pt-BR"/>
        </w:rPr>
        <w:t>b.</w:t>
      </w:r>
      <w:r>
        <w:rPr>
          <w:rFonts w:ascii="Times New Roman" w:hAnsi="Times New Roman"/>
          <w:sz w:val="24"/>
          <w:szCs w:val="24"/>
        </w:rPr>
        <w:t xml:space="preserve"> </w:t>
      </w:r>
      <w:r>
        <w:rPr>
          <w:rFonts w:ascii="Times New Roman" w:hAnsi="Times New Roman"/>
          <w:sz w:val="24"/>
          <w:szCs w:val="24"/>
          <w:lang w:val="pt-BR"/>
        </w:rPr>
        <w:t>1</w:t>
      </w:r>
      <w:r>
        <w:rPr>
          <w:rFonts w:ascii="Times New Roman" w:hAnsi="Times New Roman"/>
          <w:sz w:val="24"/>
          <w:szCs w:val="24"/>
        </w:rPr>
        <w:t xml:space="preserve">), o grupo dos oócitos vitrificados </w:t>
      </w:r>
      <w:r>
        <w:rPr>
          <w:rFonts w:ascii="Times New Roman" w:hAnsi="Times New Roman"/>
          <w:sz w:val="24"/>
          <w:szCs w:val="24"/>
          <w:lang w:val="pt-BR"/>
        </w:rPr>
        <w:t xml:space="preserve">apresentou melhores resultados, pois </w:t>
      </w:r>
      <w:r>
        <w:rPr>
          <w:rFonts w:ascii="Times New Roman" w:hAnsi="Times New Roman"/>
          <w:sz w:val="24"/>
          <w:szCs w:val="24"/>
        </w:rPr>
        <w:t>obteve menor taxa de oócitos degenerados (14,3%) quando comprado com os oócitos que passaram pelo método de congelação lenta (</w:t>
      </w:r>
      <w:r>
        <w:rPr>
          <w:rFonts w:ascii="Times New Roman" w:hAnsi="Times New Roman"/>
          <w:sz w:val="24"/>
          <w:szCs w:val="24"/>
          <w:lang w:val="pt-BR"/>
        </w:rPr>
        <w:t>26,6</w:t>
      </w:r>
      <w:r>
        <w:rPr>
          <w:rFonts w:ascii="Times New Roman" w:hAnsi="Times New Roman"/>
          <w:sz w:val="24"/>
          <w:szCs w:val="24"/>
        </w:rPr>
        <w:t>%).</w:t>
      </w:r>
    </w:p>
    <w:p>
      <w:pPr>
        <w:autoSpaceDE w:val="0"/>
        <w:autoSpaceDN w:val="0"/>
        <w:adjustRightInd w:val="0"/>
        <w:spacing w:after="0" w:line="360" w:lineRule="auto"/>
        <w:jc w:val="both"/>
        <w:rPr>
          <w:rFonts w:ascii="Times New Roman" w:hAnsi="Times New Roman"/>
          <w:bCs/>
          <w:sz w:val="24"/>
          <w:szCs w:val="24"/>
        </w:rPr>
      </w:pPr>
      <w:r>
        <w:rPr>
          <w:rFonts w:ascii="Times New Roman" w:hAnsi="Times New Roman"/>
          <w:sz w:val="24"/>
          <w:szCs w:val="24"/>
          <w:lang w:val="pt-BR"/>
        </w:rPr>
        <w:t>Tab. 01:</w:t>
      </w:r>
      <w:r>
        <w:rPr>
          <w:rFonts w:ascii="Times New Roman" w:hAnsi="Times New Roman"/>
          <w:sz w:val="24"/>
          <w:szCs w:val="24"/>
        </w:rPr>
        <w:t xml:space="preserve"> </w:t>
      </w:r>
      <w:r>
        <w:rPr>
          <w:rFonts w:ascii="Times New Roman" w:hAnsi="Times New Roman"/>
          <w:bCs/>
          <w:sz w:val="24"/>
          <w:szCs w:val="24"/>
        </w:rPr>
        <w:t>Análise das taxas de recuperação</w:t>
      </w:r>
      <w:r>
        <w:rPr>
          <w:rFonts w:ascii="Times New Roman" w:hAnsi="Times New Roman"/>
          <w:bCs/>
          <w:sz w:val="24"/>
          <w:szCs w:val="24"/>
          <w:lang w:val="pt-BR"/>
        </w:rPr>
        <w:t xml:space="preserve"> e</w:t>
      </w:r>
      <w:r>
        <w:rPr>
          <w:rFonts w:ascii="Times New Roman" w:hAnsi="Times New Roman"/>
          <w:bCs/>
          <w:sz w:val="24"/>
          <w:szCs w:val="24"/>
        </w:rPr>
        <w:t xml:space="preserve"> degenerados</w:t>
      </w:r>
      <w:r>
        <w:rPr>
          <w:rFonts w:ascii="Times New Roman" w:hAnsi="Times New Roman"/>
          <w:bCs/>
          <w:sz w:val="24"/>
          <w:szCs w:val="24"/>
          <w:lang w:val="pt-BR"/>
        </w:rPr>
        <w:t xml:space="preserve"> </w:t>
      </w:r>
      <w:r>
        <w:rPr>
          <w:rFonts w:ascii="Times New Roman" w:hAnsi="Times New Roman"/>
          <w:bCs/>
          <w:sz w:val="24"/>
          <w:szCs w:val="24"/>
        </w:rPr>
        <w:t>dos grupos de oócitos criopreservados e oócitos do grupo controle</w:t>
      </w:r>
    </w:p>
    <w:tbl>
      <w:tblPr>
        <w:tblStyle w:val="6"/>
        <w:tblW w:w="89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1"/>
        <w:gridCol w:w="1985"/>
        <w:gridCol w:w="2127"/>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7" w:hRule="atLeast"/>
          <w:jc w:val="center"/>
        </w:trPr>
        <w:tc>
          <w:tcPr>
            <w:tcW w:w="2661" w:type="dxa"/>
            <w:vMerge w:val="restart"/>
            <w:tcBorders>
              <w:left w:val="single" w:color="FFFFFF" w:themeColor="background1" w:sz="4" w:space="0"/>
              <w:right w:val="single" w:color="FFFFFF" w:themeColor="background1" w:sz="4" w:space="0"/>
            </w:tcBorders>
          </w:tcPr>
          <w:p>
            <w:pPr>
              <w:autoSpaceDE w:val="0"/>
              <w:autoSpaceDN w:val="0"/>
              <w:adjustRightInd w:val="0"/>
              <w:spacing w:after="0" w:line="360" w:lineRule="auto"/>
              <w:rPr>
                <w:rFonts w:ascii="Times New Roman" w:hAnsi="Times New Roman"/>
                <w:sz w:val="22"/>
                <w:szCs w:val="22"/>
              </w:rPr>
            </w:pPr>
          </w:p>
          <w:p>
            <w:pPr>
              <w:autoSpaceDE w:val="0"/>
              <w:autoSpaceDN w:val="0"/>
              <w:adjustRightInd w:val="0"/>
              <w:spacing w:after="0" w:line="360" w:lineRule="auto"/>
              <w:rPr>
                <w:rFonts w:ascii="Times New Roman" w:hAnsi="Times New Roman"/>
                <w:sz w:val="22"/>
                <w:szCs w:val="22"/>
              </w:rPr>
            </w:pPr>
            <w:r>
              <w:rPr>
                <w:rFonts w:ascii="Times New Roman" w:hAnsi="Times New Roman"/>
                <w:sz w:val="22"/>
                <w:szCs w:val="22"/>
              </w:rPr>
              <w:t xml:space="preserve">   </w:t>
            </w:r>
            <w:r>
              <w:rPr>
                <w:rFonts w:ascii="Times New Roman" w:hAnsi="Times New Roman"/>
                <w:b/>
                <w:sz w:val="22"/>
                <w:szCs w:val="22"/>
              </w:rPr>
              <w:t>Parâmetros</w:t>
            </w:r>
          </w:p>
        </w:tc>
        <w:tc>
          <w:tcPr>
            <w:tcW w:w="6239" w:type="dxa"/>
            <w:gridSpan w:val="3"/>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b/>
                <w:sz w:val="22"/>
                <w:szCs w:val="22"/>
              </w:rPr>
            </w:pPr>
            <w:r>
              <w:rPr>
                <w:rFonts w:ascii="Times New Roman" w:hAnsi="Times New Roman"/>
                <w:b/>
                <w:sz w:val="22"/>
                <w:szCs w:val="22"/>
              </w:rPr>
              <w:t>GRUPOS EXPERIMENTAIS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jc w:val="center"/>
        </w:trPr>
        <w:tc>
          <w:tcPr>
            <w:tcW w:w="2661" w:type="dxa"/>
            <w:vMerge w:val="continue"/>
            <w:tcBorders>
              <w:left w:val="single" w:color="FFFFFF" w:themeColor="background1" w:sz="4" w:space="0"/>
              <w:right w:val="single" w:color="FFFFFF" w:themeColor="background1" w:sz="4" w:space="0"/>
            </w:tcBorders>
          </w:tcPr>
          <w:p>
            <w:pPr>
              <w:autoSpaceDE w:val="0"/>
              <w:autoSpaceDN w:val="0"/>
              <w:adjustRightInd w:val="0"/>
              <w:spacing w:after="0" w:line="360" w:lineRule="auto"/>
              <w:rPr>
                <w:rFonts w:ascii="Times New Roman" w:hAnsi="Times New Roman"/>
                <w:b/>
                <w:sz w:val="22"/>
                <w:szCs w:val="22"/>
              </w:rPr>
            </w:pPr>
          </w:p>
        </w:tc>
        <w:tc>
          <w:tcPr>
            <w:tcW w:w="1985" w:type="dxa"/>
            <w:tcBorders>
              <w:left w:val="single" w:color="FFFFFF" w:themeColor="background1" w:sz="4" w:space="0"/>
              <w:right w:val="single" w:color="FFFFFF" w:themeColor="background1" w:sz="4" w:space="0"/>
            </w:tcBorders>
          </w:tcPr>
          <w:p>
            <w:pPr>
              <w:tabs>
                <w:tab w:val="left" w:pos="243"/>
                <w:tab w:val="center" w:pos="725"/>
              </w:tabs>
              <w:autoSpaceDE w:val="0"/>
              <w:autoSpaceDN w:val="0"/>
              <w:adjustRightInd w:val="0"/>
              <w:spacing w:after="0" w:line="360" w:lineRule="auto"/>
              <w:jc w:val="center"/>
              <w:rPr>
                <w:rFonts w:ascii="Times New Roman" w:hAnsi="Times New Roman"/>
                <w:b/>
                <w:sz w:val="22"/>
                <w:szCs w:val="22"/>
              </w:rPr>
            </w:pPr>
            <w:r>
              <w:rPr>
                <w:rFonts w:ascii="Times New Roman" w:hAnsi="Times New Roman"/>
                <w:b/>
                <w:sz w:val="22"/>
                <w:szCs w:val="22"/>
              </w:rPr>
              <w:t>Vitrificação</w:t>
            </w:r>
          </w:p>
          <w:p>
            <w:pPr>
              <w:tabs>
                <w:tab w:val="left" w:pos="243"/>
                <w:tab w:val="center" w:pos="725"/>
              </w:tabs>
              <w:autoSpaceDE w:val="0"/>
              <w:autoSpaceDN w:val="0"/>
              <w:adjustRightInd w:val="0"/>
              <w:spacing w:after="0" w:line="360" w:lineRule="auto"/>
              <w:jc w:val="center"/>
              <w:rPr>
                <w:rFonts w:ascii="Times New Roman" w:hAnsi="Times New Roman"/>
                <w:b/>
                <w:sz w:val="22"/>
                <w:szCs w:val="22"/>
                <w:lang w:val="pt-BR"/>
              </w:rPr>
            </w:pPr>
            <w:r>
              <w:rPr>
                <w:rFonts w:ascii="Times New Roman" w:hAnsi="Times New Roman"/>
                <w:b/>
                <w:sz w:val="22"/>
                <w:szCs w:val="22"/>
                <w:lang w:val="pt-BR"/>
              </w:rPr>
              <w:t>(G1)</w:t>
            </w:r>
          </w:p>
        </w:tc>
        <w:tc>
          <w:tcPr>
            <w:tcW w:w="2127" w:type="dxa"/>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b/>
                <w:sz w:val="22"/>
                <w:szCs w:val="22"/>
              </w:rPr>
            </w:pPr>
            <w:r>
              <w:rPr>
                <w:rFonts w:ascii="Times New Roman" w:hAnsi="Times New Roman"/>
                <w:b/>
                <w:sz w:val="22"/>
                <w:szCs w:val="22"/>
              </w:rPr>
              <w:t>Congelação lenta</w:t>
            </w:r>
          </w:p>
          <w:p>
            <w:pPr>
              <w:autoSpaceDE w:val="0"/>
              <w:autoSpaceDN w:val="0"/>
              <w:adjustRightInd w:val="0"/>
              <w:spacing w:after="0" w:line="360" w:lineRule="auto"/>
              <w:jc w:val="center"/>
              <w:rPr>
                <w:rFonts w:ascii="Times New Roman" w:hAnsi="Times New Roman"/>
                <w:b/>
                <w:sz w:val="22"/>
                <w:szCs w:val="22"/>
                <w:lang w:val="pt-BR"/>
              </w:rPr>
            </w:pPr>
            <w:r>
              <w:rPr>
                <w:rFonts w:ascii="Times New Roman" w:hAnsi="Times New Roman"/>
                <w:b/>
                <w:sz w:val="22"/>
                <w:szCs w:val="22"/>
                <w:lang w:val="pt-BR"/>
              </w:rPr>
              <w:t>(G2)</w:t>
            </w:r>
          </w:p>
        </w:tc>
        <w:tc>
          <w:tcPr>
            <w:tcW w:w="2127" w:type="dxa"/>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b/>
                <w:sz w:val="22"/>
                <w:szCs w:val="22"/>
              </w:rPr>
            </w:pPr>
            <w:r>
              <w:rPr>
                <w:rFonts w:ascii="Times New Roman" w:hAnsi="Times New Roman"/>
                <w:b/>
                <w:sz w:val="22"/>
                <w:szCs w:val="22"/>
              </w:rPr>
              <w:t>Controle</w:t>
            </w:r>
          </w:p>
          <w:p>
            <w:pPr>
              <w:autoSpaceDE w:val="0"/>
              <w:autoSpaceDN w:val="0"/>
              <w:adjustRightInd w:val="0"/>
              <w:spacing w:after="0" w:line="360" w:lineRule="auto"/>
              <w:jc w:val="center"/>
              <w:rPr>
                <w:rFonts w:ascii="Times New Roman" w:hAnsi="Times New Roman"/>
                <w:b/>
                <w:sz w:val="22"/>
                <w:szCs w:val="22"/>
                <w:lang w:val="pt-BR"/>
              </w:rPr>
            </w:pPr>
            <w:r>
              <w:rPr>
                <w:rFonts w:ascii="Times New Roman" w:hAnsi="Times New Roman"/>
                <w:b/>
                <w:sz w:val="22"/>
                <w:szCs w:val="22"/>
                <w:lang w:val="pt-BR"/>
              </w:rPr>
              <w:t>(G3)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jc w:val="center"/>
        </w:trPr>
        <w:tc>
          <w:tcPr>
            <w:tcW w:w="2661" w:type="dxa"/>
            <w:vMerge w:val="continue"/>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p>
        </w:tc>
        <w:tc>
          <w:tcPr>
            <w:tcW w:w="1985" w:type="dxa"/>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r>
              <w:rPr>
                <w:rFonts w:ascii="Times New Roman" w:hAnsi="Times New Roman"/>
                <w:sz w:val="22"/>
                <w:szCs w:val="22"/>
              </w:rPr>
              <w:t>n (%)</w:t>
            </w:r>
          </w:p>
        </w:tc>
        <w:tc>
          <w:tcPr>
            <w:tcW w:w="2127" w:type="dxa"/>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r>
              <w:rPr>
                <w:rFonts w:ascii="Times New Roman" w:hAnsi="Times New Roman"/>
                <w:sz w:val="22"/>
                <w:szCs w:val="22"/>
              </w:rPr>
              <w:t>n (%)</w:t>
            </w:r>
          </w:p>
        </w:tc>
        <w:tc>
          <w:tcPr>
            <w:tcW w:w="2127" w:type="dxa"/>
            <w:tcBorders>
              <w:left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r>
              <w:rPr>
                <w:rFonts w:ascii="Times New Roman" w:hAnsi="Times New Roman"/>
                <w:sz w:val="22"/>
                <w:szCs w:val="22"/>
              </w:rPr>
              <w:t>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 w:hRule="atLeast"/>
          <w:jc w:val="center"/>
        </w:trPr>
        <w:tc>
          <w:tcPr>
            <w:tcW w:w="2661" w:type="dxa"/>
            <w:tcBorders>
              <w:left w:val="single" w:color="FFFFFF" w:themeColor="background1" w:sz="4" w:space="0"/>
              <w:bottom w:val="single" w:color="FFFFFF" w:themeColor="background1" w:sz="4" w:space="0"/>
              <w:right w:val="single" w:color="FFFFFF" w:themeColor="background1" w:sz="4" w:space="0"/>
            </w:tcBorders>
          </w:tcPr>
          <w:p>
            <w:pPr>
              <w:autoSpaceDE w:val="0"/>
              <w:autoSpaceDN w:val="0"/>
              <w:adjustRightInd w:val="0"/>
              <w:spacing w:after="0" w:line="360" w:lineRule="auto"/>
              <w:rPr>
                <w:rFonts w:ascii="Times New Roman" w:hAnsi="Times New Roman"/>
                <w:sz w:val="22"/>
                <w:szCs w:val="22"/>
              </w:rPr>
            </w:pPr>
            <w:r>
              <w:rPr>
                <w:rFonts w:ascii="Times New Roman" w:hAnsi="Times New Roman"/>
                <w:sz w:val="22"/>
                <w:szCs w:val="22"/>
              </w:rPr>
              <w:t>Oócitos recuperados</w:t>
            </w:r>
          </w:p>
        </w:tc>
        <w:tc>
          <w:tcPr>
            <w:tcW w:w="1985" w:type="dxa"/>
            <w:tcBorders>
              <w:left w:val="single" w:color="FFFFFF" w:themeColor="background1" w:sz="4" w:space="0"/>
              <w:bottom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r>
              <w:rPr>
                <w:rFonts w:ascii="Times New Roman" w:hAnsi="Times New Roman"/>
                <w:sz w:val="22"/>
                <w:szCs w:val="22"/>
              </w:rPr>
              <w:t>140 (100,0)</w:t>
            </w:r>
            <w:r>
              <w:rPr>
                <w:rFonts w:ascii="Times New Roman" w:hAnsi="Times New Roman"/>
                <w:sz w:val="22"/>
                <w:szCs w:val="22"/>
                <w:vertAlign w:val="superscript"/>
              </w:rPr>
              <w:t>a</w:t>
            </w:r>
          </w:p>
        </w:tc>
        <w:tc>
          <w:tcPr>
            <w:tcW w:w="2127" w:type="dxa"/>
            <w:tcBorders>
              <w:left w:val="single" w:color="FFFFFF" w:themeColor="background1" w:sz="4" w:space="0"/>
              <w:bottom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r>
              <w:rPr>
                <w:rFonts w:ascii="Times New Roman" w:hAnsi="Times New Roman"/>
                <w:sz w:val="22"/>
                <w:szCs w:val="22"/>
              </w:rPr>
              <w:t>139 (100,0)</w:t>
            </w:r>
            <w:r>
              <w:rPr>
                <w:rFonts w:ascii="Times New Roman" w:hAnsi="Times New Roman"/>
                <w:sz w:val="22"/>
                <w:szCs w:val="22"/>
                <w:vertAlign w:val="superscript"/>
              </w:rPr>
              <w:t>a</w:t>
            </w:r>
          </w:p>
        </w:tc>
        <w:tc>
          <w:tcPr>
            <w:tcW w:w="2127" w:type="dxa"/>
            <w:tcBorders>
              <w:left w:val="single" w:color="FFFFFF" w:themeColor="background1" w:sz="4" w:space="0"/>
              <w:bottom w:val="single" w:color="FFFFFF" w:themeColor="background1"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rPr>
            </w:pPr>
            <w:r>
              <w:rPr>
                <w:rFonts w:ascii="Times New Roman" w:hAnsi="Times New Roman"/>
                <w:sz w:val="22"/>
                <w:szCs w:val="22"/>
              </w:rPr>
              <w:t>143 (100,0)</w:t>
            </w:r>
            <w:r>
              <w:rPr>
                <w:rFonts w:ascii="Times New Roman" w:hAnsi="Times New Roman"/>
                <w:sz w:val="22"/>
                <w:szCs w:val="22"/>
                <w:vertAlign w:val="superscript"/>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jc w:val="center"/>
        </w:trPr>
        <w:tc>
          <w:tcPr>
            <w:tcW w:w="2661" w:type="dxa"/>
            <w:tcBorders>
              <w:top w:val="single" w:color="FFFFFF" w:themeColor="background1" w:sz="4" w:space="0"/>
              <w:left w:val="single" w:color="FFFFFF" w:themeColor="background1" w:sz="4" w:space="0"/>
              <w:bottom w:val="single" w:color="auto" w:sz="4" w:space="0"/>
              <w:right w:val="single" w:color="FFFFFF" w:themeColor="background1" w:sz="4" w:space="0"/>
            </w:tcBorders>
          </w:tcPr>
          <w:p>
            <w:pPr>
              <w:autoSpaceDE w:val="0"/>
              <w:autoSpaceDN w:val="0"/>
              <w:adjustRightInd w:val="0"/>
              <w:spacing w:after="0" w:line="360" w:lineRule="auto"/>
              <w:rPr>
                <w:rFonts w:ascii="Times New Roman" w:hAnsi="Times New Roman"/>
                <w:sz w:val="22"/>
                <w:szCs w:val="22"/>
              </w:rPr>
            </w:pPr>
            <w:r>
              <w:rPr>
                <w:rFonts w:ascii="Times New Roman" w:hAnsi="Times New Roman"/>
                <w:sz w:val="22"/>
                <w:szCs w:val="22"/>
              </w:rPr>
              <w:t>Oócitos degenerados</w:t>
            </w:r>
          </w:p>
        </w:tc>
        <w:tc>
          <w:tcPr>
            <w:tcW w:w="1985" w:type="dxa"/>
            <w:tcBorders>
              <w:top w:val="single" w:color="FFFFFF" w:themeColor="background1" w:sz="4" w:space="0"/>
              <w:left w:val="single" w:color="FFFFFF" w:themeColor="background1" w:sz="4" w:space="0"/>
              <w:bottom w:val="single" w:color="auto"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vertAlign w:val="superscript"/>
              </w:rPr>
            </w:pPr>
            <w:r>
              <w:rPr>
                <w:rFonts w:ascii="Times New Roman" w:hAnsi="Times New Roman"/>
                <w:sz w:val="22"/>
                <w:szCs w:val="22"/>
              </w:rPr>
              <w:t>20 (14,3)</w:t>
            </w:r>
            <w:r>
              <w:rPr>
                <w:rFonts w:ascii="Times New Roman" w:hAnsi="Times New Roman"/>
                <w:sz w:val="22"/>
                <w:szCs w:val="22"/>
                <w:vertAlign w:val="superscript"/>
              </w:rPr>
              <w:t>ab</w:t>
            </w:r>
          </w:p>
        </w:tc>
        <w:tc>
          <w:tcPr>
            <w:tcW w:w="2127" w:type="dxa"/>
            <w:tcBorders>
              <w:top w:val="single" w:color="FFFFFF" w:themeColor="background1" w:sz="4" w:space="0"/>
              <w:left w:val="single" w:color="FFFFFF" w:themeColor="background1" w:sz="4" w:space="0"/>
              <w:bottom w:val="single" w:color="auto"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vertAlign w:val="superscript"/>
              </w:rPr>
            </w:pPr>
            <w:r>
              <w:rPr>
                <w:rFonts w:ascii="Times New Roman" w:hAnsi="Times New Roman"/>
                <w:sz w:val="22"/>
                <w:szCs w:val="22"/>
              </w:rPr>
              <w:t>37 (26,6)</w:t>
            </w:r>
            <w:r>
              <w:rPr>
                <w:rFonts w:ascii="Times New Roman" w:hAnsi="Times New Roman"/>
                <w:sz w:val="22"/>
                <w:szCs w:val="22"/>
                <w:vertAlign w:val="superscript"/>
              </w:rPr>
              <w:t>a</w:t>
            </w:r>
          </w:p>
        </w:tc>
        <w:tc>
          <w:tcPr>
            <w:tcW w:w="2127" w:type="dxa"/>
            <w:tcBorders>
              <w:top w:val="single" w:color="FFFFFF" w:themeColor="background1" w:sz="4" w:space="0"/>
              <w:left w:val="single" w:color="FFFFFF" w:themeColor="background1" w:sz="4" w:space="0"/>
              <w:bottom w:val="single" w:color="auto" w:sz="4" w:space="0"/>
              <w:right w:val="single" w:color="FFFFFF" w:themeColor="background1" w:sz="4" w:space="0"/>
            </w:tcBorders>
          </w:tcPr>
          <w:p>
            <w:pPr>
              <w:autoSpaceDE w:val="0"/>
              <w:autoSpaceDN w:val="0"/>
              <w:adjustRightInd w:val="0"/>
              <w:spacing w:after="0" w:line="360" w:lineRule="auto"/>
              <w:jc w:val="center"/>
              <w:rPr>
                <w:rFonts w:ascii="Times New Roman" w:hAnsi="Times New Roman"/>
                <w:sz w:val="22"/>
                <w:szCs w:val="22"/>
                <w:vertAlign w:val="superscript"/>
              </w:rPr>
            </w:pPr>
            <w:r>
              <w:rPr>
                <w:rFonts w:ascii="Times New Roman" w:hAnsi="Times New Roman"/>
                <w:sz w:val="22"/>
                <w:szCs w:val="22"/>
              </w:rPr>
              <w:t>13 (9,1)</w:t>
            </w:r>
            <w:r>
              <w:rPr>
                <w:rFonts w:ascii="Times New Roman" w:hAnsi="Times New Roman"/>
                <w:sz w:val="22"/>
                <w:szCs w:val="22"/>
                <w:vertAlign w:val="superscript"/>
              </w:rPr>
              <w:t>b</w:t>
            </w:r>
          </w:p>
        </w:tc>
      </w:tr>
    </w:tbl>
    <w:p>
      <w:pPr>
        <w:autoSpaceDE w:val="0"/>
        <w:autoSpaceDN w:val="0"/>
        <w:adjustRightInd w:val="0"/>
        <w:spacing w:after="0" w:line="240" w:lineRule="auto"/>
        <w:jc w:val="both"/>
        <w:rPr>
          <w:rFonts w:ascii="Times New Roman" w:hAnsi="Times New Roman"/>
        </w:rPr>
      </w:pPr>
      <w:r>
        <w:rPr>
          <w:rFonts w:ascii="Times New Roman" w:hAnsi="Times New Roman"/>
        </w:rPr>
        <w:t>Teste Qui-quadrado com 5% de significância.</w:t>
      </w:r>
    </w:p>
    <w:p>
      <w:pPr>
        <w:autoSpaceDE w:val="0"/>
        <w:autoSpaceDN w:val="0"/>
        <w:adjustRightInd w:val="0"/>
        <w:spacing w:line="240" w:lineRule="auto"/>
        <w:jc w:val="both"/>
        <w:rPr>
          <w:rFonts w:ascii="Times New Roman" w:hAnsi="Times New Roman"/>
        </w:rPr>
      </w:pPr>
      <w:r>
        <w:rPr>
          <w:rFonts w:ascii="Times New Roman" w:hAnsi="Times New Roman"/>
        </w:rPr>
        <w:t>Letras diferentes na mesma linha indicam diferença significativa (p &lt; 0,05).</w:t>
      </w:r>
    </w:p>
    <w:p>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lang w:val="pt-BR"/>
        </w:rPr>
        <w:t>Foram observada a presença</w:t>
      </w:r>
      <w:r>
        <w:rPr>
          <w:rFonts w:ascii="Times New Roman" w:hAnsi="Times New Roman"/>
          <w:sz w:val="24"/>
          <w:szCs w:val="24"/>
        </w:rPr>
        <w:t xml:space="preserve"> de vários tipos de lesões nos oócitos após </w:t>
      </w:r>
      <w:r>
        <w:rPr>
          <w:rFonts w:ascii="Times New Roman" w:hAnsi="Times New Roman"/>
          <w:sz w:val="24"/>
          <w:szCs w:val="24"/>
          <w:lang w:val="pt-BR"/>
        </w:rPr>
        <w:t xml:space="preserve">desvitrificação </w:t>
      </w:r>
      <w:r>
        <w:rPr>
          <w:rFonts w:ascii="Times New Roman" w:hAnsi="Times New Roman"/>
          <w:sz w:val="24"/>
          <w:szCs w:val="24"/>
        </w:rPr>
        <w:t>e descongelação como: fratura da zona pelúcida, perda da integridade da membrana, citoplasma retraído, retração e distensão do oócito</w:t>
      </w:r>
      <w:r>
        <w:rPr>
          <w:rFonts w:ascii="Times New Roman" w:hAnsi="Times New Roman"/>
          <w:sz w:val="24"/>
          <w:szCs w:val="24"/>
          <w:lang w:val="pt-BR"/>
        </w:rPr>
        <w:t>.</w:t>
      </w:r>
      <w:r>
        <w:rPr>
          <w:rFonts w:ascii="Times New Roman" w:hAnsi="Times New Roman"/>
          <w:sz w:val="24"/>
          <w:szCs w:val="24"/>
        </w:rPr>
        <w:t xml:space="preserve"> </w:t>
      </w:r>
    </w:p>
    <w:p>
      <w:pPr>
        <w:autoSpaceDE w:val="0"/>
        <w:autoSpaceDN w:val="0"/>
        <w:adjustRightInd w:val="0"/>
        <w:spacing w:after="0" w:line="360" w:lineRule="auto"/>
        <w:ind w:firstLine="420"/>
        <w:jc w:val="both"/>
        <w:rPr>
          <w:rFonts w:ascii="Times New Roman" w:hAnsi="Times New Roman"/>
          <w:sz w:val="24"/>
          <w:szCs w:val="24"/>
          <w:lang w:val="pt-BR"/>
        </w:rPr>
      </w:pPr>
      <w:r>
        <w:rPr>
          <w:rFonts w:ascii="Times New Roman" w:hAnsi="Times New Roman"/>
          <w:sz w:val="24"/>
          <w:szCs w:val="24"/>
        </w:rPr>
        <w:t xml:space="preserve"> A criopreservação pode causar várias lesões nos oócitos: fratura da zona pelúcida é um dano frequente, </w:t>
      </w:r>
      <w:r>
        <w:rPr>
          <w:rFonts w:ascii="Times New Roman" w:hAnsi="Times New Roman"/>
          <w:sz w:val="24"/>
          <w:szCs w:val="24"/>
          <w:lang w:val="pt-BR"/>
        </w:rPr>
        <w:t xml:space="preserve">que </w:t>
      </w:r>
      <w:r>
        <w:rPr>
          <w:rFonts w:ascii="Times New Roman" w:hAnsi="Times New Roman"/>
          <w:sz w:val="24"/>
          <w:szCs w:val="24"/>
        </w:rPr>
        <w:t>compromete a capacidade de desenvolvimento posterior. Com o aumento da concentração de Ca</w:t>
      </w:r>
      <w:r>
        <w:rPr>
          <w:rFonts w:ascii="Times New Roman" w:hAnsi="Times New Roman"/>
          <w:sz w:val="24"/>
          <w:szCs w:val="24"/>
          <w:vertAlign w:val="superscript"/>
        </w:rPr>
        <w:t>2+</w:t>
      </w:r>
      <w:r>
        <w:rPr>
          <w:rFonts w:ascii="Times New Roman" w:hAnsi="Times New Roman"/>
          <w:sz w:val="24"/>
          <w:szCs w:val="24"/>
        </w:rPr>
        <w:t xml:space="preserve"> intracelular causado pela exposição aos crioprotetores simula o pico que acontece durante o processo de fertilização, ocorrendo o endurecimento prematuro da zona pelúcida desencadeado da exocitose dos grânulos corticais, que é um processo dependente de Ca</w:t>
      </w:r>
      <w:r>
        <w:rPr>
          <w:rFonts w:ascii="Times New Roman" w:hAnsi="Times New Roman"/>
          <w:sz w:val="24"/>
          <w:szCs w:val="24"/>
          <w:vertAlign w:val="superscript"/>
        </w:rPr>
        <w:t>2+</w:t>
      </w:r>
      <w:r>
        <w:rPr>
          <w:rFonts w:ascii="Times New Roman" w:hAnsi="Times New Roman"/>
          <w:sz w:val="24"/>
          <w:szCs w:val="24"/>
        </w:rPr>
        <w:t xml:space="preserve">, interferido a posterior penetração do espermatozoide e a fertilização (KOHAYA </w:t>
      </w:r>
      <w:r>
        <w:rPr>
          <w:rFonts w:ascii="Times New Roman" w:hAnsi="Times New Roman"/>
          <w:i/>
          <w:sz w:val="24"/>
          <w:szCs w:val="24"/>
        </w:rPr>
        <w:t>et al</w:t>
      </w:r>
      <w:r>
        <w:rPr>
          <w:rFonts w:ascii="Times New Roman" w:hAnsi="Times New Roman"/>
          <w:iCs/>
          <w:sz w:val="24"/>
          <w:szCs w:val="24"/>
        </w:rPr>
        <w:t>.,</w:t>
      </w:r>
      <w:r>
        <w:rPr>
          <w:rFonts w:ascii="Times New Roman" w:hAnsi="Times New Roman"/>
          <w:i/>
          <w:iCs/>
          <w:sz w:val="24"/>
          <w:szCs w:val="24"/>
        </w:rPr>
        <w:t xml:space="preserve"> </w:t>
      </w:r>
      <w:r>
        <w:rPr>
          <w:rFonts w:ascii="Times New Roman" w:hAnsi="Times New Roman"/>
          <w:sz w:val="24"/>
          <w:szCs w:val="24"/>
        </w:rPr>
        <w:t>2011)</w:t>
      </w:r>
      <w:r>
        <w:rPr>
          <w:rFonts w:ascii="Times New Roman" w:hAnsi="Times New Roman"/>
          <w:sz w:val="24"/>
          <w:szCs w:val="24"/>
          <w:lang w:val="pt-BR"/>
        </w:rPr>
        <w:t>.</w:t>
      </w:r>
      <w:r>
        <w:rPr>
          <w:rFonts w:ascii="Times New Roman" w:hAnsi="Times New Roman"/>
          <w:sz w:val="24"/>
          <w:szCs w:val="24"/>
        </w:rPr>
        <w:t xml:space="preserve">   Geralmente, os Crioprotetores podem ter efeitos osmóticos drásticos nas células durante o processo de congelação/descongelação. A adição e remoção de crioprotetores no oócito causam um desequilíbrio osmótico na membrana que pode resultar em grandes alterações volumétricas e causar danos na morfologia do oócito, na estrutura e função do citoesqueleto (CHIAN </w:t>
      </w:r>
      <w:r>
        <w:rPr>
          <w:rFonts w:ascii="Times New Roman" w:hAnsi="Times New Roman"/>
          <w:i/>
          <w:sz w:val="24"/>
          <w:szCs w:val="24"/>
        </w:rPr>
        <w:t>et al</w:t>
      </w:r>
      <w:r>
        <w:rPr>
          <w:rFonts w:ascii="Times New Roman" w:hAnsi="Times New Roman"/>
          <w:i/>
          <w:iCs/>
          <w:sz w:val="24"/>
          <w:szCs w:val="24"/>
        </w:rPr>
        <w:t xml:space="preserve">. </w:t>
      </w:r>
      <w:r>
        <w:rPr>
          <w:rFonts w:ascii="Times New Roman" w:hAnsi="Times New Roman"/>
          <w:sz w:val="24"/>
          <w:szCs w:val="24"/>
        </w:rPr>
        <w:t>2014).</w:t>
      </w:r>
      <w:r>
        <w:rPr>
          <w:sz w:val="24"/>
          <w:szCs w:val="24"/>
        </w:rPr>
        <w:t xml:space="preserve"> </w:t>
      </w:r>
      <w:r>
        <w:rPr>
          <w:rFonts w:ascii="Times New Roman" w:hAnsi="Times New Roman"/>
          <w:sz w:val="24"/>
          <w:szCs w:val="24"/>
        </w:rPr>
        <w:t>Estudos indicam que o processo de vitrificação de oócitos diminui o conteúdo de ATP e o potencial de membrana das</w:t>
      </w:r>
      <w:r>
        <w:rPr>
          <w:sz w:val="24"/>
          <w:szCs w:val="24"/>
        </w:rPr>
        <w:t xml:space="preserve"> </w:t>
      </w:r>
      <w:r>
        <w:rPr>
          <w:rFonts w:ascii="Times New Roman" w:hAnsi="Times New Roman"/>
          <w:sz w:val="24"/>
          <w:szCs w:val="24"/>
        </w:rPr>
        <w:t xml:space="preserve">mitocôndrias, refletindo-se na capacidade de desenvolvimento dos oócitos e comprometendo posterior desenvolvimento embrionário (ZHAO </w:t>
      </w:r>
      <w:r>
        <w:rPr>
          <w:rFonts w:ascii="Times New Roman" w:hAnsi="Times New Roman"/>
          <w:i/>
          <w:sz w:val="24"/>
          <w:szCs w:val="24"/>
        </w:rPr>
        <w:t>et al</w:t>
      </w:r>
      <w:r>
        <w:rPr>
          <w:rFonts w:ascii="Times New Roman" w:hAnsi="Times New Roman"/>
          <w:i/>
          <w:iCs/>
          <w:sz w:val="24"/>
          <w:szCs w:val="24"/>
        </w:rPr>
        <w:t>.</w:t>
      </w:r>
      <w:r>
        <w:rPr>
          <w:rFonts w:ascii="Times New Roman" w:hAnsi="Times New Roman"/>
          <w:i/>
          <w:iCs/>
          <w:sz w:val="24"/>
          <w:szCs w:val="24"/>
          <w:lang w:val="pt-BR"/>
        </w:rPr>
        <w:t>,</w:t>
      </w:r>
      <w:r>
        <w:rPr>
          <w:rFonts w:ascii="Times New Roman" w:hAnsi="Times New Roman"/>
          <w:i/>
          <w:iCs/>
          <w:sz w:val="24"/>
          <w:szCs w:val="24"/>
        </w:rPr>
        <w:t xml:space="preserve"> </w:t>
      </w:r>
      <w:r>
        <w:rPr>
          <w:rFonts w:ascii="Times New Roman" w:hAnsi="Times New Roman"/>
          <w:sz w:val="24"/>
          <w:szCs w:val="24"/>
        </w:rPr>
        <w:t xml:space="preserve">2011). </w:t>
      </w:r>
      <w:r>
        <w:rPr>
          <w:rFonts w:ascii="Times New Roman" w:hAnsi="Times New Roman"/>
          <w:sz w:val="24"/>
          <w:szCs w:val="24"/>
          <w:lang w:val="pt-BR"/>
        </w:rPr>
        <w:t xml:space="preserve">No entanto, </w:t>
      </w:r>
      <w:r>
        <w:rPr>
          <w:rFonts w:ascii="Times New Roman" w:hAnsi="Times New Roman"/>
          <w:sz w:val="24"/>
          <w:szCs w:val="24"/>
        </w:rPr>
        <w:t xml:space="preserve">Rao </w:t>
      </w:r>
      <w:r>
        <w:rPr>
          <w:rFonts w:ascii="Times New Roman" w:hAnsi="Times New Roman"/>
          <w:i/>
          <w:iCs/>
          <w:sz w:val="24"/>
          <w:szCs w:val="24"/>
        </w:rPr>
        <w:t>et al</w:t>
      </w:r>
      <w:r>
        <w:rPr>
          <w:rFonts w:ascii="Times New Roman" w:hAnsi="Times New Roman"/>
          <w:sz w:val="24"/>
          <w:szCs w:val="24"/>
        </w:rPr>
        <w:t>., (2012), relatou que a exposição a vitrificação e crioprotetores não prejudicaram significativamente a viabilidade de oócitos de cabras</w:t>
      </w:r>
      <w:r>
        <w:rPr>
          <w:rFonts w:ascii="Times New Roman" w:hAnsi="Times New Roman"/>
          <w:sz w:val="24"/>
          <w:szCs w:val="24"/>
          <w:lang w:val="pt-BR"/>
        </w:rPr>
        <w:t xml:space="preserve">, </w:t>
      </w:r>
      <w:r>
        <w:rPr>
          <w:rFonts w:ascii="Times New Roman" w:hAnsi="Times New Roman"/>
          <w:sz w:val="24"/>
          <w:szCs w:val="24"/>
        </w:rPr>
        <w:t xml:space="preserve">corroborando com os resultados observados em nosso estudo. QUAN </w:t>
      </w:r>
      <w:r>
        <w:rPr>
          <w:rFonts w:ascii="Times New Roman" w:hAnsi="Times New Roman"/>
          <w:i/>
          <w:iCs/>
          <w:sz w:val="24"/>
          <w:szCs w:val="24"/>
        </w:rPr>
        <w:t>et al</w:t>
      </w:r>
      <w:r>
        <w:rPr>
          <w:rFonts w:ascii="Times New Roman" w:hAnsi="Times New Roman"/>
          <w:sz w:val="24"/>
          <w:szCs w:val="24"/>
        </w:rPr>
        <w:t>., (2014) relataram mais 90% de viabilidade em oócitos caprinos vitrificados, semelhante ao grupo controle fresco.</w:t>
      </w:r>
      <w:r>
        <w:rPr>
          <w:rFonts w:ascii="Times New Roman" w:hAnsi="Times New Roman"/>
          <w:sz w:val="24"/>
          <w:szCs w:val="24"/>
          <w:lang w:val="pt-BR"/>
        </w:rPr>
        <w:t xml:space="preserve"> Nesse estudo observamos que o método de vitrificação provoca menos danos aos oócitos, indicando ser um método de escolha na criopreservação de oócitos caprinos.</w:t>
      </w:r>
    </w:p>
    <w:p>
      <w:pPr>
        <w:autoSpaceDE w:val="0"/>
        <w:autoSpaceDN w:val="0"/>
        <w:adjustRightInd w:val="0"/>
        <w:spacing w:after="0" w:line="360" w:lineRule="auto"/>
        <w:jc w:val="center"/>
        <w:rPr>
          <w:rFonts w:ascii="Times New Roman" w:hAnsi="Times New Roman"/>
          <w:b/>
          <w:bCs/>
          <w:sz w:val="24"/>
          <w:szCs w:val="24"/>
          <w:lang w:val="pt-BR"/>
        </w:rPr>
      </w:pPr>
      <w:r>
        <w:rPr>
          <w:rFonts w:ascii="Times New Roman" w:hAnsi="Times New Roman"/>
          <w:b/>
          <w:bCs/>
          <w:sz w:val="24"/>
          <w:szCs w:val="24"/>
          <w:lang w:val="pt-BR"/>
        </w:rPr>
        <w:t>CONCLUSÃO</w:t>
      </w:r>
    </w:p>
    <w:p>
      <w:pPr>
        <w:autoSpaceDE w:val="0"/>
        <w:autoSpaceDN w:val="0"/>
        <w:adjustRightInd w:val="0"/>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De acordo com o estudo, o método de vitrificação causa menos danos aos oócitos, indicando </w:t>
      </w:r>
      <w:r>
        <w:rPr>
          <w:rFonts w:ascii="Times New Roman" w:hAnsi="Times New Roman" w:cs="Times New Roman"/>
          <w:sz w:val="24"/>
          <w:szCs w:val="24"/>
          <w:lang w:val="pt-BR"/>
        </w:rPr>
        <w:t xml:space="preserve">ser o método </w:t>
      </w:r>
      <w:r>
        <w:rPr>
          <w:rFonts w:ascii="Times New Roman" w:hAnsi="Times New Roman" w:cs="Times New Roman"/>
          <w:sz w:val="24"/>
          <w:szCs w:val="24"/>
        </w:rPr>
        <w:t>de escolha na criopreservação d</w:t>
      </w:r>
      <w:r>
        <w:rPr>
          <w:rFonts w:ascii="Times New Roman" w:hAnsi="Times New Roman" w:cs="Times New Roman"/>
          <w:sz w:val="24"/>
          <w:szCs w:val="24"/>
          <w:lang w:val="pt-BR"/>
        </w:rPr>
        <w:t>e</w:t>
      </w:r>
      <w:r>
        <w:rPr>
          <w:rFonts w:ascii="Times New Roman" w:hAnsi="Times New Roman" w:cs="Times New Roman"/>
          <w:sz w:val="24"/>
          <w:szCs w:val="24"/>
        </w:rPr>
        <w:t xml:space="preserve"> oócitos</w:t>
      </w:r>
      <w:r>
        <w:rPr>
          <w:rFonts w:ascii="Times New Roman" w:hAnsi="Times New Roman" w:cs="Times New Roman"/>
          <w:sz w:val="24"/>
          <w:szCs w:val="24"/>
          <w:lang w:val="pt-BR"/>
        </w:rPr>
        <w:t xml:space="preserve"> caprinos</w:t>
      </w:r>
      <w:r>
        <w:rPr>
          <w:rFonts w:ascii="Times New Roman" w:hAnsi="Times New Roman" w:cs="Times New Roman"/>
          <w:sz w:val="24"/>
          <w:szCs w:val="24"/>
        </w:rPr>
        <w:t>.</w:t>
      </w:r>
    </w:p>
    <w:p>
      <w:pPr>
        <w:spacing w:line="360" w:lineRule="auto"/>
        <w:jc w:val="center"/>
        <w:rPr>
          <w:rFonts w:ascii="Times New Roman" w:hAnsi="Times New Roman" w:eastAsia="SimSun" w:cs="Times New Roman"/>
          <w:b/>
          <w:bCs/>
          <w:color w:val="222222"/>
          <w:sz w:val="24"/>
          <w:szCs w:val="24"/>
          <w:shd w:val="clear" w:color="auto" w:fill="FFFFFF"/>
          <w:lang w:val="pt-BR"/>
        </w:rPr>
      </w:pPr>
      <w:r>
        <w:rPr>
          <w:rFonts w:ascii="Times New Roman" w:hAnsi="Times New Roman" w:eastAsia="SimSun" w:cs="Times New Roman"/>
          <w:b/>
          <w:bCs/>
          <w:color w:val="222222"/>
          <w:sz w:val="24"/>
          <w:szCs w:val="24"/>
          <w:shd w:val="clear" w:color="auto" w:fill="FFFFFF"/>
          <w:lang w:val="pt-BR"/>
        </w:rPr>
        <w:t>REFERÊNCIAS</w:t>
      </w:r>
    </w:p>
    <w:p>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bCs/>
          <w:sz w:val="24"/>
          <w:szCs w:val="24"/>
        </w:rPr>
        <w:t>CHIAN, R. C.</w:t>
      </w:r>
      <w:r>
        <w:rPr>
          <w:rFonts w:ascii="Times New Roman" w:hAnsi="Times New Roman" w:cs="Times New Roman"/>
          <w:bCs/>
          <w:sz w:val="24"/>
          <w:szCs w:val="24"/>
          <w:lang w:val="pt-BR"/>
        </w:rPr>
        <w:t>;</w:t>
      </w:r>
      <w:r>
        <w:rPr>
          <w:rFonts w:ascii="Times New Roman" w:hAnsi="Times New Roman" w:cs="Times New Roman"/>
          <w:bCs/>
          <w:sz w:val="24"/>
          <w:szCs w:val="24"/>
        </w:rPr>
        <w:t xml:space="preserve"> WANG, Y.</w:t>
      </w:r>
      <w:r>
        <w:rPr>
          <w:rFonts w:ascii="Times New Roman" w:hAnsi="Times New Roman" w:cs="Times New Roman"/>
          <w:bCs/>
          <w:sz w:val="24"/>
          <w:szCs w:val="24"/>
          <w:lang w:val="pt-BR"/>
        </w:rPr>
        <w:t>;</w:t>
      </w:r>
      <w:r>
        <w:rPr>
          <w:rFonts w:ascii="Times New Roman" w:hAnsi="Times New Roman" w:cs="Times New Roman"/>
          <w:bCs/>
          <w:sz w:val="24"/>
          <w:szCs w:val="24"/>
        </w:rPr>
        <w:t xml:space="preserve"> LI, Y. R. </w:t>
      </w:r>
      <w:r>
        <w:rPr>
          <w:rFonts w:ascii="Times New Roman" w:hAnsi="Times New Roman" w:cs="Times New Roman"/>
          <w:sz w:val="24"/>
          <w:szCs w:val="24"/>
        </w:rPr>
        <w:t xml:space="preserve">2014. Oocyte vitrification: advances, progress and future goals. </w:t>
      </w:r>
      <w:r>
        <w:rPr>
          <w:rFonts w:ascii="Times New Roman" w:hAnsi="Times New Roman" w:cs="Times New Roman"/>
          <w:iCs/>
          <w:sz w:val="24"/>
          <w:szCs w:val="24"/>
        </w:rPr>
        <w:t>Journal of Assisted Reproduction and Genetics.</w:t>
      </w:r>
      <w:r>
        <w:rPr>
          <w:rFonts w:ascii="Times New Roman" w:hAnsi="Times New Roman" w:cs="Times New Roman"/>
          <w:i/>
          <w:iCs/>
          <w:sz w:val="24"/>
          <w:szCs w:val="24"/>
        </w:rPr>
        <w:t xml:space="preserve"> </w:t>
      </w:r>
      <w:r>
        <w:rPr>
          <w:rFonts w:ascii="Times New Roman" w:hAnsi="Times New Roman" w:cs="Times New Roman"/>
          <w:bCs/>
          <w:sz w:val="24"/>
          <w:szCs w:val="24"/>
        </w:rPr>
        <w:t xml:space="preserve">31, </w:t>
      </w:r>
      <w:r>
        <w:rPr>
          <w:rFonts w:ascii="Times New Roman" w:hAnsi="Times New Roman" w:cs="Times New Roman"/>
          <w:sz w:val="24"/>
          <w:szCs w:val="24"/>
        </w:rPr>
        <w:t xml:space="preserve">411–420. </w:t>
      </w:r>
    </w:p>
    <w:p>
      <w:pPr>
        <w:tabs>
          <w:tab w:val="left" w:pos="2114"/>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QUAN, G. B.</w:t>
      </w:r>
      <w:r>
        <w:rPr>
          <w:rFonts w:ascii="Times New Roman" w:hAnsi="Times New Roman" w:cs="Times New Roman"/>
          <w:sz w:val="24"/>
          <w:szCs w:val="24"/>
          <w:lang w:val="pt-BR"/>
        </w:rPr>
        <w:t>;</w:t>
      </w:r>
      <w:r>
        <w:rPr>
          <w:rFonts w:ascii="Times New Roman" w:hAnsi="Times New Roman" w:cs="Times New Roman"/>
          <w:sz w:val="24"/>
          <w:szCs w:val="24"/>
        </w:rPr>
        <w:t xml:space="preserve"> LI, W. J.</w:t>
      </w:r>
      <w:r>
        <w:rPr>
          <w:rFonts w:ascii="Times New Roman" w:hAnsi="Times New Roman" w:cs="Times New Roman"/>
          <w:sz w:val="24"/>
          <w:szCs w:val="24"/>
          <w:lang w:val="pt-BR"/>
        </w:rPr>
        <w:t>;</w:t>
      </w:r>
      <w:r>
        <w:rPr>
          <w:rFonts w:ascii="Times New Roman" w:hAnsi="Times New Roman" w:cs="Times New Roman"/>
          <w:sz w:val="24"/>
          <w:szCs w:val="24"/>
        </w:rPr>
        <w:t xml:space="preserve"> Lan, Z. G.</w:t>
      </w:r>
      <w:r>
        <w:rPr>
          <w:rFonts w:ascii="Times New Roman" w:hAnsi="Times New Roman" w:cs="Times New Roman"/>
          <w:sz w:val="24"/>
          <w:szCs w:val="24"/>
          <w:lang w:val="pt-BR"/>
        </w:rPr>
        <w:t>;</w:t>
      </w:r>
      <w:r>
        <w:rPr>
          <w:rFonts w:ascii="Times New Roman" w:hAnsi="Times New Roman" w:cs="Times New Roman"/>
          <w:sz w:val="24"/>
          <w:szCs w:val="24"/>
        </w:rPr>
        <w:t xml:space="preserve"> Wu, S. S.</w:t>
      </w:r>
      <w:r>
        <w:rPr>
          <w:rFonts w:ascii="Times New Roman" w:hAnsi="Times New Roman" w:cs="Times New Roman"/>
          <w:sz w:val="24"/>
          <w:szCs w:val="24"/>
          <w:lang w:val="pt-BR"/>
        </w:rPr>
        <w:t>;</w:t>
      </w:r>
      <w:r>
        <w:rPr>
          <w:rFonts w:ascii="Times New Roman" w:hAnsi="Times New Roman" w:cs="Times New Roman"/>
          <w:sz w:val="24"/>
          <w:szCs w:val="24"/>
        </w:rPr>
        <w:t xml:space="preserve"> SHAO, Q. Y.</w:t>
      </w:r>
      <w:r>
        <w:rPr>
          <w:rFonts w:ascii="Times New Roman" w:hAnsi="Times New Roman" w:cs="Times New Roman"/>
          <w:sz w:val="24"/>
          <w:szCs w:val="24"/>
          <w:lang w:val="pt-BR"/>
        </w:rPr>
        <w:t>;</w:t>
      </w:r>
      <w:r>
        <w:rPr>
          <w:rFonts w:ascii="Times New Roman" w:hAnsi="Times New Roman" w:cs="Times New Roman"/>
          <w:sz w:val="24"/>
          <w:szCs w:val="24"/>
        </w:rPr>
        <w:t xml:space="preserve"> HONG, Q. H. 2014. The effects of meiotic stage on viability and developmental capability of goat oocytes vitrified by the Cryoloop method. Small Ruminant Research. 116, 32-36. </w:t>
      </w:r>
    </w:p>
    <w:p>
      <w:pPr>
        <w:autoSpaceDE w:val="0"/>
        <w:autoSpaceDN w:val="0"/>
        <w:adjustRightInd w:val="0"/>
        <w:spacing w:line="360" w:lineRule="auto"/>
        <w:jc w:val="both"/>
        <w:rPr>
          <w:rFonts w:ascii="Times New Roman" w:hAnsi="Times New Roman" w:eastAsia="SimSun" w:cs="Times New Roman"/>
          <w:b/>
          <w:bCs/>
          <w:color w:val="222222"/>
          <w:sz w:val="24"/>
          <w:szCs w:val="24"/>
          <w:shd w:val="clear" w:color="auto" w:fill="FFFFFF"/>
          <w:lang w:val="pt-BR"/>
        </w:rPr>
      </w:pPr>
      <w:r>
        <w:rPr>
          <w:rFonts w:ascii="Times New Roman" w:hAnsi="Times New Roman" w:cs="Times New Roman"/>
          <w:bCs/>
          <w:sz w:val="24"/>
          <w:szCs w:val="24"/>
        </w:rPr>
        <w:t>KOHAYA, N.</w:t>
      </w:r>
      <w:r>
        <w:rPr>
          <w:rFonts w:ascii="Times New Roman" w:hAnsi="Times New Roman" w:cs="Times New Roman"/>
          <w:bCs/>
          <w:sz w:val="24"/>
          <w:szCs w:val="24"/>
          <w:lang w:val="pt-BR"/>
        </w:rPr>
        <w:t>;</w:t>
      </w:r>
      <w:r>
        <w:rPr>
          <w:rFonts w:ascii="Times New Roman" w:hAnsi="Times New Roman" w:cs="Times New Roman"/>
          <w:bCs/>
          <w:sz w:val="24"/>
          <w:szCs w:val="24"/>
        </w:rPr>
        <w:t xml:space="preserve"> FUJIWARA, K.</w:t>
      </w:r>
      <w:r>
        <w:rPr>
          <w:rFonts w:ascii="Times New Roman" w:hAnsi="Times New Roman" w:cs="Times New Roman"/>
          <w:bCs/>
          <w:sz w:val="24"/>
          <w:szCs w:val="24"/>
          <w:lang w:val="pt-BR"/>
        </w:rPr>
        <w:t>;</w:t>
      </w:r>
      <w:r>
        <w:rPr>
          <w:rFonts w:ascii="Times New Roman" w:hAnsi="Times New Roman" w:cs="Times New Roman"/>
          <w:bCs/>
          <w:sz w:val="24"/>
          <w:szCs w:val="24"/>
        </w:rPr>
        <w:t xml:space="preserve"> ITO, J.</w:t>
      </w:r>
      <w:r>
        <w:rPr>
          <w:rFonts w:ascii="Times New Roman" w:hAnsi="Times New Roman" w:cs="Times New Roman"/>
          <w:bCs/>
          <w:sz w:val="24"/>
          <w:szCs w:val="24"/>
          <w:lang w:val="pt-BR"/>
        </w:rPr>
        <w:t>;</w:t>
      </w:r>
      <w:r>
        <w:rPr>
          <w:rFonts w:ascii="Times New Roman" w:hAnsi="Times New Roman" w:cs="Times New Roman"/>
          <w:bCs/>
          <w:sz w:val="24"/>
          <w:szCs w:val="24"/>
        </w:rPr>
        <w:t xml:space="preserve"> KASHIWAZAKI, N. </w:t>
      </w:r>
      <w:r>
        <w:rPr>
          <w:rFonts w:ascii="Times New Roman" w:hAnsi="Times New Roman" w:cs="Times New Roman"/>
          <w:sz w:val="24"/>
          <w:szCs w:val="24"/>
        </w:rPr>
        <w:t xml:space="preserve">2011. High Developmental Rates of Mouse Oocytes Cryopreserved by an Optimized Vitrification Protocol: The Effects of Cryoprotectants, Calcium and Cumulus Cells. </w:t>
      </w:r>
      <w:r>
        <w:rPr>
          <w:rFonts w:ascii="Times New Roman" w:hAnsi="Times New Roman" w:cs="Times New Roman"/>
          <w:iCs/>
          <w:sz w:val="24"/>
          <w:szCs w:val="24"/>
        </w:rPr>
        <w:t>Journal of Reproduction and Development.</w:t>
      </w:r>
      <w:r>
        <w:rPr>
          <w:rFonts w:ascii="Times New Roman" w:hAnsi="Times New Roman" w:cs="Times New Roman"/>
          <w:i/>
          <w:iCs/>
          <w:sz w:val="24"/>
          <w:szCs w:val="24"/>
        </w:rPr>
        <w:t xml:space="preserve"> </w:t>
      </w:r>
      <w:r>
        <w:rPr>
          <w:rFonts w:ascii="Times New Roman" w:hAnsi="Times New Roman" w:cs="Times New Roman"/>
          <w:bCs/>
          <w:sz w:val="24"/>
          <w:szCs w:val="24"/>
        </w:rPr>
        <w:t xml:space="preserve">57, </w:t>
      </w:r>
      <w:r>
        <w:rPr>
          <w:rFonts w:ascii="Times New Roman" w:hAnsi="Times New Roman" w:cs="Times New Roman"/>
          <w:sz w:val="24"/>
          <w:szCs w:val="24"/>
        </w:rPr>
        <w:t xml:space="preserve">675–680. </w:t>
      </w:r>
    </w:p>
    <w:p>
      <w:pPr>
        <w:spacing w:line="360" w:lineRule="auto"/>
        <w:jc w:val="both"/>
        <w:rPr>
          <w:rFonts w:ascii="Times New Roman" w:hAnsi="Times New Roman" w:eastAsia="SimSun" w:cs="Times New Roman"/>
          <w:color w:val="000000"/>
          <w:sz w:val="24"/>
          <w:szCs w:val="24"/>
          <w:shd w:val="clear" w:color="auto" w:fill="FFFFFF"/>
          <w:lang w:val="pt-BR"/>
        </w:rPr>
      </w:pPr>
      <w:r>
        <w:rPr>
          <w:rFonts w:ascii="Times New Roman" w:hAnsi="Times New Roman" w:eastAsia="SimSun" w:cs="Times New Roman"/>
          <w:color w:val="000000"/>
          <w:sz w:val="24"/>
          <w:szCs w:val="24"/>
          <w:shd w:val="clear" w:color="auto" w:fill="FFFFFF"/>
        </w:rPr>
        <w:t>KUWAYAM</w:t>
      </w:r>
      <w:r>
        <w:rPr>
          <w:rFonts w:ascii="Times New Roman" w:hAnsi="Times New Roman" w:eastAsia="SimSun" w:cs="Times New Roman"/>
          <w:color w:val="000000"/>
          <w:sz w:val="24"/>
          <w:szCs w:val="24"/>
          <w:shd w:val="clear" w:color="auto" w:fill="FFFFFF"/>
          <w:lang w:val="pt-BR"/>
        </w:rPr>
        <w:t>A,</w:t>
      </w:r>
      <w:r>
        <w:rPr>
          <w:rFonts w:ascii="Times New Roman" w:hAnsi="Times New Roman" w:eastAsia="SimSun" w:cs="Times New Roman"/>
          <w:color w:val="000000"/>
          <w:sz w:val="24"/>
          <w:szCs w:val="24"/>
          <w:shd w:val="clear" w:color="auto" w:fill="FFFFFF"/>
        </w:rPr>
        <w:t xml:space="preserve"> M</w:t>
      </w:r>
      <w:r>
        <w:rPr>
          <w:rFonts w:ascii="Times New Roman" w:hAnsi="Times New Roman" w:eastAsia="SimSun" w:cs="Times New Roman"/>
          <w:color w:val="000000"/>
          <w:sz w:val="24"/>
          <w:szCs w:val="24"/>
          <w:shd w:val="clear" w:color="auto" w:fill="FFFFFF"/>
          <w:lang w:val="pt-BR"/>
        </w:rPr>
        <w:t xml:space="preserve">. </w:t>
      </w:r>
      <w:r>
        <w:fldChar w:fldCharType="begin"/>
      </w:r>
      <w:r>
        <w:instrText xml:space="preserve"> HYPERLINK "https://www.ncbi.nlm.nih.gov/pubmed/17055564" </w:instrText>
      </w:r>
      <w:r>
        <w:fldChar w:fldCharType="separate"/>
      </w:r>
      <w:r>
        <w:rPr>
          <w:rStyle w:val="4"/>
          <w:rFonts w:ascii="Times New Roman" w:hAnsi="Times New Roman" w:eastAsia="SimSun" w:cs="Times New Roman"/>
          <w:color w:val="auto"/>
          <w:sz w:val="24"/>
          <w:szCs w:val="24"/>
          <w:u w:val="none"/>
          <w:shd w:val="clear" w:color="auto" w:fill="FFFFFF"/>
        </w:rPr>
        <w:t>Highly efficient vitrification for cryopreservation of human oocytes and embryos: the Cryotop method.</w:t>
      </w:r>
      <w:r>
        <w:rPr>
          <w:rStyle w:val="4"/>
          <w:rFonts w:ascii="Times New Roman" w:hAnsi="Times New Roman" w:eastAsia="SimSun" w:cs="Times New Roman"/>
          <w:color w:val="auto"/>
          <w:sz w:val="24"/>
          <w:szCs w:val="24"/>
          <w:u w:val="none"/>
          <w:shd w:val="clear" w:color="auto" w:fill="FFFFFF"/>
        </w:rPr>
        <w:fldChar w:fldCharType="end"/>
      </w:r>
      <w:r>
        <w:rPr>
          <w:rFonts w:ascii="Times New Roman" w:hAnsi="Times New Roman" w:eastAsia="SimSun" w:cs="Times New Roman"/>
          <w:color w:val="000000"/>
          <w:sz w:val="24"/>
          <w:szCs w:val="24"/>
          <w:shd w:val="clear" w:color="auto" w:fill="FFFFFF"/>
        </w:rPr>
        <w:t>Theriogenology. 2007 Jan 1;67(1):73-80. Epub 2006 Oct 20. Revie</w:t>
      </w:r>
      <w:r>
        <w:rPr>
          <w:rFonts w:ascii="Times New Roman" w:hAnsi="Times New Roman" w:eastAsia="SimSun" w:cs="Times New Roman"/>
          <w:color w:val="000000"/>
          <w:sz w:val="24"/>
          <w:szCs w:val="24"/>
          <w:shd w:val="clear" w:color="auto" w:fill="FFFFFF"/>
          <w:lang w:val="pt-BR"/>
        </w:rPr>
        <w:t>w.</w:t>
      </w:r>
    </w:p>
    <w:p>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PEREIRA, R. M.</w:t>
      </w:r>
      <w:r>
        <w:rPr>
          <w:rFonts w:ascii="Times New Roman" w:hAnsi="Times New Roman" w:cs="Times New Roman"/>
          <w:sz w:val="24"/>
          <w:szCs w:val="24"/>
          <w:lang w:val="pt-BR"/>
        </w:rPr>
        <w:t>;</w:t>
      </w:r>
      <w:r>
        <w:rPr>
          <w:rFonts w:ascii="Times New Roman" w:hAnsi="Times New Roman" w:cs="Times New Roman"/>
          <w:sz w:val="24"/>
          <w:szCs w:val="24"/>
        </w:rPr>
        <w:t xml:space="preserve"> MARQUES, C. C. 2008. Animal oocyte and embryo cryopreservation. Cell Tissue Bank. 9 (4), 267–277. </w:t>
      </w:r>
    </w:p>
    <w:p>
      <w:pPr>
        <w:tabs>
          <w:tab w:val="left" w:pos="2114"/>
        </w:tabs>
        <w:autoSpaceDE w:val="0"/>
        <w:autoSpaceDN w:val="0"/>
        <w:adjustRightInd w:val="0"/>
        <w:spacing w:line="360" w:lineRule="auto"/>
        <w:jc w:val="both"/>
        <w:rPr>
          <w:rFonts w:ascii="Times New Roman" w:hAnsi="Times New Roman" w:cs="Times New Roman"/>
          <w:sz w:val="24"/>
          <w:szCs w:val="24"/>
          <w:lang w:val="pt-BR"/>
        </w:rPr>
      </w:pPr>
      <w:r>
        <w:rPr>
          <w:rFonts w:ascii="Times New Roman" w:hAnsi="Times New Roman" w:cs="Times New Roman"/>
          <w:sz w:val="24"/>
          <w:szCs w:val="24"/>
        </w:rPr>
        <w:t>PRENTICE, J. R.</w:t>
      </w:r>
      <w:r>
        <w:rPr>
          <w:rFonts w:ascii="Times New Roman" w:hAnsi="Times New Roman" w:cs="Times New Roman"/>
          <w:sz w:val="24"/>
          <w:szCs w:val="24"/>
          <w:lang w:val="pt-BR"/>
        </w:rPr>
        <w:t>;</w:t>
      </w:r>
      <w:r>
        <w:rPr>
          <w:rFonts w:ascii="Times New Roman" w:hAnsi="Times New Roman" w:cs="Times New Roman"/>
          <w:sz w:val="24"/>
          <w:szCs w:val="24"/>
        </w:rPr>
        <w:t xml:space="preserve"> ANZAR, M. 2011. Cryopreservation of mammalian oocyte for conservation of animal genetics. Veterinary Medicine Intational. </w:t>
      </w:r>
      <w:r>
        <w:fldChar w:fldCharType="begin"/>
      </w:r>
      <w:r>
        <w:instrText xml:space="preserve"> HYPERLINK "http://dx.doi.org/10.4061/2011/146405" </w:instrText>
      </w:r>
      <w:r>
        <w:fldChar w:fldCharType="separate"/>
      </w:r>
      <w:r>
        <w:rPr>
          <w:rStyle w:val="4"/>
          <w:rFonts w:ascii="Times New Roman" w:hAnsi="Times New Roman" w:cs="Times New Roman"/>
          <w:color w:val="auto"/>
          <w:sz w:val="24"/>
          <w:szCs w:val="24"/>
          <w:u w:val="none"/>
        </w:rPr>
        <w:t>http://dx.doi.org/10.4061/2011/146405</w:t>
      </w:r>
      <w:r>
        <w:rPr>
          <w:rStyle w:val="4"/>
          <w:rFonts w:ascii="Times New Roman" w:hAnsi="Times New Roman" w:cs="Times New Roman"/>
          <w:color w:val="auto"/>
          <w:sz w:val="24"/>
          <w:szCs w:val="24"/>
          <w:u w:val="none"/>
        </w:rPr>
        <w:fldChar w:fldCharType="end"/>
      </w:r>
      <w:r>
        <w:rPr>
          <w:rStyle w:val="4"/>
          <w:rFonts w:ascii="Times New Roman" w:hAnsi="Times New Roman" w:cs="Times New Roman"/>
          <w:color w:val="auto"/>
          <w:sz w:val="24"/>
          <w:szCs w:val="24"/>
          <w:u w:val="none"/>
          <w:lang w:val="pt-BR"/>
        </w:rPr>
        <w:t>.</w:t>
      </w:r>
    </w:p>
    <w:p>
      <w:pPr>
        <w:tabs>
          <w:tab w:val="left" w:pos="2114"/>
        </w:tabs>
        <w:autoSpaceDE w:val="0"/>
        <w:autoSpaceDN w:val="0"/>
        <w:adjustRightInd w:val="0"/>
        <w:spacing w:line="360" w:lineRule="auto"/>
        <w:jc w:val="both"/>
        <w:rPr>
          <w:rStyle w:val="4"/>
          <w:rFonts w:ascii="Times New Roman" w:hAnsi="Times New Roman" w:cs="Times New Roman"/>
          <w:color w:val="auto"/>
          <w:sz w:val="24"/>
          <w:szCs w:val="24"/>
          <w:u w:val="none"/>
          <w:shd w:val="clear" w:color="auto" w:fill="FFFFFF"/>
          <w:lang w:val="pt-BR"/>
        </w:rPr>
      </w:pPr>
      <w:r>
        <w:rPr>
          <w:rFonts w:ascii="Times New Roman" w:hAnsi="Times New Roman" w:cs="Times New Roman"/>
          <w:sz w:val="24"/>
          <w:szCs w:val="24"/>
        </w:rPr>
        <w:t>RAO, B. S.</w:t>
      </w:r>
      <w:r>
        <w:rPr>
          <w:rFonts w:ascii="Times New Roman" w:hAnsi="Times New Roman" w:cs="Times New Roman"/>
          <w:sz w:val="24"/>
          <w:szCs w:val="24"/>
          <w:lang w:val="pt-BR"/>
        </w:rPr>
        <w:t>;</w:t>
      </w:r>
      <w:r>
        <w:rPr>
          <w:rFonts w:ascii="Times New Roman" w:hAnsi="Times New Roman" w:cs="Times New Roman"/>
          <w:sz w:val="24"/>
          <w:szCs w:val="24"/>
        </w:rPr>
        <w:t xml:space="preserve"> MAHESH, Y. U.</w:t>
      </w:r>
      <w:r>
        <w:rPr>
          <w:rFonts w:ascii="Times New Roman" w:hAnsi="Times New Roman" w:cs="Times New Roman"/>
          <w:sz w:val="24"/>
          <w:szCs w:val="24"/>
          <w:lang w:val="pt-BR"/>
        </w:rPr>
        <w:t>;</w:t>
      </w:r>
      <w:r>
        <w:rPr>
          <w:rFonts w:ascii="Times New Roman" w:hAnsi="Times New Roman" w:cs="Times New Roman"/>
          <w:sz w:val="24"/>
          <w:szCs w:val="24"/>
        </w:rPr>
        <w:t xml:space="preserve"> CHARAN, K. V.</w:t>
      </w:r>
      <w:r>
        <w:rPr>
          <w:rFonts w:ascii="Times New Roman" w:hAnsi="Times New Roman" w:cs="Times New Roman"/>
          <w:sz w:val="24"/>
          <w:szCs w:val="24"/>
          <w:lang w:val="pt-BR"/>
        </w:rPr>
        <w:t>;</w:t>
      </w:r>
      <w:r>
        <w:rPr>
          <w:rFonts w:ascii="Times New Roman" w:hAnsi="Times New Roman" w:cs="Times New Roman"/>
          <w:sz w:val="24"/>
          <w:szCs w:val="24"/>
        </w:rPr>
        <w:t xml:space="preserve"> SUMAN, K.</w:t>
      </w:r>
      <w:r>
        <w:rPr>
          <w:rFonts w:ascii="Times New Roman" w:hAnsi="Times New Roman" w:cs="Times New Roman"/>
          <w:sz w:val="24"/>
          <w:szCs w:val="24"/>
          <w:lang w:val="pt-BR"/>
        </w:rPr>
        <w:t>;</w:t>
      </w:r>
      <w:r>
        <w:rPr>
          <w:rFonts w:ascii="Times New Roman" w:hAnsi="Times New Roman" w:cs="Times New Roman"/>
          <w:sz w:val="24"/>
          <w:szCs w:val="24"/>
        </w:rPr>
        <w:t xml:space="preserve"> SEKHAR, N.</w:t>
      </w:r>
      <w:r>
        <w:rPr>
          <w:rFonts w:ascii="Times New Roman" w:hAnsi="Times New Roman" w:cs="Times New Roman"/>
          <w:sz w:val="24"/>
          <w:szCs w:val="24"/>
          <w:lang w:val="pt-BR"/>
        </w:rPr>
        <w:t>;</w:t>
      </w:r>
      <w:r>
        <w:rPr>
          <w:rFonts w:ascii="Times New Roman" w:hAnsi="Times New Roman" w:cs="Times New Roman"/>
          <w:sz w:val="24"/>
          <w:szCs w:val="24"/>
        </w:rPr>
        <w:t xml:space="preserve"> SHIVAJI, S. 2012. Effect of vitrification on meiotic maturation and expression of genesin immature goat cumulus oocyte complexes. Cryobiology 64, 176–184. </w:t>
      </w:r>
    </w:p>
    <w:p>
      <w:pPr>
        <w:tabs>
          <w:tab w:val="left" w:pos="2114"/>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VAJTA</w:t>
      </w:r>
      <w:r>
        <w:rPr>
          <w:rFonts w:ascii="Times New Roman" w:hAnsi="Times New Roman" w:cs="Times New Roman"/>
          <w:sz w:val="24"/>
          <w:szCs w:val="24"/>
          <w:lang w:val="pt-BR"/>
        </w:rPr>
        <w:t>,</w:t>
      </w:r>
      <w:r>
        <w:rPr>
          <w:rFonts w:ascii="Times New Roman" w:hAnsi="Times New Roman" w:cs="Times New Roman"/>
          <w:sz w:val="24"/>
          <w:szCs w:val="24"/>
        </w:rPr>
        <w:t xml:space="preserve"> G.</w:t>
      </w:r>
      <w:r>
        <w:rPr>
          <w:rFonts w:ascii="Times New Roman" w:hAnsi="Times New Roman" w:cs="Times New Roman"/>
          <w:sz w:val="24"/>
          <w:szCs w:val="24"/>
          <w:lang w:val="pt-BR"/>
        </w:rPr>
        <w:t>;</w:t>
      </w:r>
      <w:r>
        <w:rPr>
          <w:rFonts w:ascii="Times New Roman" w:hAnsi="Times New Roman" w:cs="Times New Roman"/>
          <w:sz w:val="24"/>
          <w:szCs w:val="24"/>
        </w:rPr>
        <w:t xml:space="preserve"> KUWAYAMA</w:t>
      </w:r>
      <w:r>
        <w:rPr>
          <w:rFonts w:ascii="Times New Roman" w:hAnsi="Times New Roman" w:cs="Times New Roman"/>
          <w:sz w:val="24"/>
          <w:szCs w:val="24"/>
          <w:lang w:val="pt-BR"/>
        </w:rPr>
        <w:t>,</w:t>
      </w:r>
      <w:r>
        <w:rPr>
          <w:rFonts w:ascii="Times New Roman" w:hAnsi="Times New Roman" w:cs="Times New Roman"/>
          <w:sz w:val="24"/>
          <w:szCs w:val="24"/>
        </w:rPr>
        <w:t xml:space="preserve"> M</w:t>
      </w:r>
      <w:r>
        <w:rPr>
          <w:rFonts w:ascii="Times New Roman" w:hAnsi="Times New Roman" w:cs="Times New Roman"/>
          <w:sz w:val="24"/>
          <w:szCs w:val="24"/>
          <w:lang w:val="pt-BR"/>
        </w:rPr>
        <w:t>.;</w:t>
      </w:r>
      <w:r>
        <w:rPr>
          <w:rFonts w:ascii="Times New Roman" w:hAnsi="Times New Roman" w:cs="Times New Roman"/>
          <w:sz w:val="24"/>
          <w:szCs w:val="24"/>
        </w:rPr>
        <w:t xml:space="preserve"> VANDERZWALMEN</w:t>
      </w:r>
      <w:r>
        <w:rPr>
          <w:rFonts w:ascii="Times New Roman" w:hAnsi="Times New Roman" w:cs="Times New Roman"/>
          <w:sz w:val="24"/>
          <w:szCs w:val="24"/>
          <w:lang w:val="pt-BR"/>
        </w:rPr>
        <w:t>,</w:t>
      </w:r>
      <w:r>
        <w:rPr>
          <w:rFonts w:ascii="Times New Roman" w:hAnsi="Times New Roman" w:cs="Times New Roman"/>
          <w:sz w:val="24"/>
          <w:szCs w:val="24"/>
        </w:rPr>
        <w:t xml:space="preserve"> P. 2007. Disadvantages and benefits of vitrification. In: Vitrification in assisted reproduction A user‘s manual and troubleshooting guide. 33-44.</w:t>
      </w:r>
    </w:p>
    <w:p>
      <w:pPr>
        <w:tabs>
          <w:tab w:val="left" w:pos="2114"/>
        </w:tabs>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SANTOS, R. R.</w:t>
      </w:r>
      <w:r>
        <w:rPr>
          <w:rFonts w:ascii="Times New Roman" w:hAnsi="Times New Roman" w:cs="Times New Roman"/>
          <w:sz w:val="24"/>
          <w:szCs w:val="24"/>
          <w:lang w:val="pt-BR"/>
        </w:rPr>
        <w:t>;</w:t>
      </w:r>
      <w:r>
        <w:rPr>
          <w:rFonts w:ascii="Times New Roman" w:hAnsi="Times New Roman" w:cs="Times New Roman"/>
          <w:sz w:val="24"/>
          <w:szCs w:val="24"/>
        </w:rPr>
        <w:t xml:space="preserve"> CELESTINO, J. J. H.</w:t>
      </w:r>
      <w:r>
        <w:rPr>
          <w:rFonts w:ascii="Times New Roman" w:hAnsi="Times New Roman" w:cs="Times New Roman"/>
          <w:sz w:val="24"/>
          <w:szCs w:val="24"/>
          <w:lang w:val="pt-BR"/>
        </w:rPr>
        <w:t>;</w:t>
      </w:r>
      <w:r>
        <w:rPr>
          <w:rFonts w:ascii="Times New Roman" w:hAnsi="Times New Roman" w:cs="Times New Roman"/>
          <w:sz w:val="24"/>
          <w:szCs w:val="24"/>
        </w:rPr>
        <w:t xml:space="preserve"> LOPES, C. A. P.</w:t>
      </w:r>
      <w:r>
        <w:rPr>
          <w:rFonts w:ascii="Times New Roman" w:hAnsi="Times New Roman" w:cs="Times New Roman"/>
          <w:sz w:val="24"/>
          <w:szCs w:val="24"/>
          <w:lang w:val="pt-BR"/>
        </w:rPr>
        <w:t>;</w:t>
      </w:r>
      <w:r>
        <w:rPr>
          <w:rFonts w:ascii="Times New Roman" w:hAnsi="Times New Roman" w:cs="Times New Roman"/>
          <w:sz w:val="24"/>
          <w:szCs w:val="24"/>
        </w:rPr>
        <w:t xml:space="preserve"> MELO, M. A. P.</w:t>
      </w:r>
      <w:r>
        <w:rPr>
          <w:rFonts w:ascii="Times New Roman" w:hAnsi="Times New Roman" w:cs="Times New Roman"/>
          <w:sz w:val="24"/>
          <w:szCs w:val="24"/>
          <w:lang w:val="pt-BR"/>
        </w:rPr>
        <w:t>;</w:t>
      </w:r>
      <w:r>
        <w:rPr>
          <w:rFonts w:ascii="Times New Roman" w:hAnsi="Times New Roman" w:cs="Times New Roman"/>
          <w:sz w:val="24"/>
          <w:szCs w:val="24"/>
        </w:rPr>
        <w:t xml:space="preserve"> RODRIGUES, A. P. R.</w:t>
      </w:r>
      <w:r>
        <w:rPr>
          <w:rFonts w:ascii="Times New Roman" w:hAnsi="Times New Roman" w:cs="Times New Roman"/>
          <w:sz w:val="24"/>
          <w:szCs w:val="24"/>
          <w:lang w:val="pt-BR"/>
        </w:rPr>
        <w:t>;</w:t>
      </w:r>
      <w:r>
        <w:rPr>
          <w:rFonts w:ascii="Times New Roman" w:hAnsi="Times New Roman" w:cs="Times New Roman"/>
          <w:sz w:val="24"/>
          <w:szCs w:val="24"/>
        </w:rPr>
        <w:t xml:space="preserve"> FIGUEREDO, J. R. F. 2008. Criopreservação de folículos ovarianos pré-antrais de animais domésticos. Revista Brasileira de Reprodução Animal. 32, 9-15. </w:t>
      </w:r>
    </w:p>
    <w:p>
      <w:pPr>
        <w:autoSpaceDE w:val="0"/>
        <w:autoSpaceDN w:val="0"/>
        <w:adjustRightInd w:val="0"/>
        <w:spacing w:line="360" w:lineRule="auto"/>
        <w:jc w:val="both"/>
        <w:rPr>
          <w:rStyle w:val="4"/>
          <w:rFonts w:ascii="Times New Roman" w:hAnsi="Times New Roman"/>
          <w:color w:val="auto"/>
          <w:sz w:val="24"/>
          <w:szCs w:val="24"/>
          <w:u w:val="none"/>
          <w:lang w:val="pt-BR"/>
        </w:rPr>
      </w:pPr>
      <w:r>
        <w:rPr>
          <w:rFonts w:ascii="Times New Roman" w:hAnsi="Times New Roman" w:cs="Times New Roman" w:eastAsiaTheme="minorHAnsi"/>
          <w:bCs/>
          <w:sz w:val="24"/>
          <w:szCs w:val="24"/>
        </w:rPr>
        <w:t>ZHAO, X.</w:t>
      </w:r>
      <w:r>
        <w:rPr>
          <w:rFonts w:ascii="Times New Roman" w:hAnsi="Times New Roman" w:cs="Times New Roman" w:eastAsiaTheme="minorHAnsi"/>
          <w:bCs/>
          <w:sz w:val="24"/>
          <w:szCs w:val="24"/>
          <w:lang w:val="pt-BR"/>
        </w:rPr>
        <w:t>;</w:t>
      </w:r>
      <w:r>
        <w:rPr>
          <w:rFonts w:ascii="Times New Roman" w:hAnsi="Times New Roman" w:cs="Times New Roman" w:eastAsiaTheme="minorHAnsi"/>
          <w:bCs/>
          <w:sz w:val="24"/>
          <w:szCs w:val="24"/>
        </w:rPr>
        <w:t xml:space="preserve"> DU, W.</w:t>
      </w:r>
      <w:r>
        <w:rPr>
          <w:rFonts w:ascii="Times New Roman" w:hAnsi="Times New Roman" w:cs="Times New Roman" w:eastAsiaTheme="minorHAnsi"/>
          <w:bCs/>
          <w:sz w:val="24"/>
          <w:szCs w:val="24"/>
          <w:lang w:val="pt-BR"/>
        </w:rPr>
        <w:t>;</w:t>
      </w:r>
      <w:r>
        <w:rPr>
          <w:rFonts w:ascii="Times New Roman" w:hAnsi="Times New Roman" w:cs="Times New Roman" w:eastAsiaTheme="minorHAnsi"/>
          <w:bCs/>
          <w:sz w:val="24"/>
          <w:szCs w:val="24"/>
        </w:rPr>
        <w:t xml:space="preserve"> WANG, D.</w:t>
      </w:r>
      <w:r>
        <w:rPr>
          <w:rFonts w:ascii="Times New Roman" w:hAnsi="Times New Roman" w:cs="Times New Roman" w:eastAsiaTheme="minorHAnsi"/>
          <w:bCs/>
          <w:sz w:val="24"/>
          <w:szCs w:val="24"/>
          <w:lang w:val="pt-BR"/>
        </w:rPr>
        <w:t>;</w:t>
      </w:r>
      <w:r>
        <w:rPr>
          <w:rFonts w:ascii="Times New Roman" w:hAnsi="Times New Roman" w:cs="Times New Roman" w:eastAsiaTheme="minorHAnsi"/>
          <w:bCs/>
          <w:sz w:val="24"/>
          <w:szCs w:val="24"/>
        </w:rPr>
        <w:t xml:space="preserve"> HAO, H.</w:t>
      </w:r>
      <w:r>
        <w:rPr>
          <w:rFonts w:ascii="Times New Roman" w:hAnsi="Times New Roman" w:cs="Times New Roman" w:eastAsiaTheme="minorHAnsi"/>
          <w:bCs/>
          <w:sz w:val="24"/>
          <w:szCs w:val="24"/>
          <w:lang w:val="pt-BR"/>
        </w:rPr>
        <w:t>;</w:t>
      </w:r>
      <w:r>
        <w:rPr>
          <w:rFonts w:ascii="Times New Roman" w:hAnsi="Times New Roman" w:cs="Times New Roman" w:eastAsiaTheme="minorHAnsi"/>
          <w:bCs/>
          <w:sz w:val="24"/>
          <w:szCs w:val="24"/>
        </w:rPr>
        <w:t xml:space="preserve"> LIU, Y.</w:t>
      </w:r>
      <w:r>
        <w:rPr>
          <w:rFonts w:ascii="Times New Roman" w:hAnsi="Times New Roman" w:cs="Times New Roman" w:eastAsiaTheme="minorHAnsi"/>
          <w:bCs/>
          <w:sz w:val="24"/>
          <w:szCs w:val="24"/>
          <w:lang w:val="pt-BR"/>
        </w:rPr>
        <w:t>;</w:t>
      </w:r>
      <w:r>
        <w:rPr>
          <w:rFonts w:ascii="Times New Roman" w:hAnsi="Times New Roman" w:cs="Times New Roman" w:eastAsiaTheme="minorHAnsi"/>
          <w:bCs/>
          <w:sz w:val="24"/>
          <w:szCs w:val="24"/>
        </w:rPr>
        <w:t xml:space="preserve"> QIN, T.</w:t>
      </w:r>
      <w:r>
        <w:rPr>
          <w:rFonts w:ascii="Times New Roman" w:hAnsi="Times New Roman" w:cs="Times New Roman" w:eastAsiaTheme="minorHAnsi"/>
          <w:bCs/>
          <w:sz w:val="24"/>
          <w:szCs w:val="24"/>
          <w:lang w:val="pt-BR"/>
        </w:rPr>
        <w:t>;</w:t>
      </w:r>
      <w:r>
        <w:rPr>
          <w:rFonts w:ascii="Times New Roman" w:hAnsi="Times New Roman" w:cs="Times New Roman" w:eastAsiaTheme="minorHAnsi"/>
          <w:bCs/>
          <w:sz w:val="24"/>
          <w:szCs w:val="24"/>
        </w:rPr>
        <w:t xml:space="preserve"> ZHU, H.</w:t>
      </w:r>
      <w:r>
        <w:rPr>
          <w:rFonts w:ascii="Times New Roman" w:hAnsi="Times New Roman" w:cs="Times New Roman" w:eastAsiaTheme="minorHAnsi"/>
          <w:b/>
          <w:bCs/>
          <w:sz w:val="24"/>
          <w:szCs w:val="24"/>
        </w:rPr>
        <w:t xml:space="preserve"> </w:t>
      </w:r>
      <w:r>
        <w:rPr>
          <w:rFonts w:ascii="Times New Roman" w:hAnsi="Times New Roman" w:cs="Times New Roman" w:eastAsiaTheme="minorHAnsi"/>
          <w:sz w:val="24"/>
          <w:szCs w:val="24"/>
        </w:rPr>
        <w:t xml:space="preserve">2011. Effect of cyclosporine pretreatment on mitochondrial function in vitrified bovine mature oocytes. </w:t>
      </w:r>
      <w:r>
        <w:rPr>
          <w:rFonts w:ascii="Times New Roman" w:hAnsi="Times New Roman" w:cs="Times New Roman" w:eastAsiaTheme="minorHAnsi"/>
          <w:iCs/>
          <w:sz w:val="24"/>
          <w:szCs w:val="24"/>
        </w:rPr>
        <w:t>Fertility and Sterility.</w:t>
      </w:r>
      <w:r>
        <w:rPr>
          <w:rFonts w:ascii="Times New Roman" w:hAnsi="Times New Roman" w:cs="Times New Roman" w:eastAsiaTheme="minorHAnsi"/>
          <w:i/>
          <w:iCs/>
          <w:sz w:val="24"/>
          <w:szCs w:val="24"/>
        </w:rPr>
        <w:t xml:space="preserve"> </w:t>
      </w:r>
      <w:r>
        <w:rPr>
          <w:rFonts w:ascii="Times New Roman" w:hAnsi="Times New Roman" w:cs="Times New Roman" w:eastAsiaTheme="minorHAnsi"/>
          <w:bCs/>
          <w:sz w:val="24"/>
          <w:szCs w:val="24"/>
        </w:rPr>
        <w:t>95,</w:t>
      </w:r>
      <w:r>
        <w:rPr>
          <w:rFonts w:ascii="Times New Roman" w:hAnsi="Times New Roman" w:cs="Times New Roman" w:eastAsiaTheme="minorHAnsi"/>
          <w:b/>
          <w:bCs/>
          <w:sz w:val="24"/>
          <w:szCs w:val="24"/>
        </w:rPr>
        <w:t xml:space="preserve"> </w:t>
      </w:r>
      <w:r>
        <w:rPr>
          <w:rFonts w:ascii="Times New Roman" w:hAnsi="Times New Roman" w:cs="Times New Roman" w:eastAsiaTheme="minorHAnsi"/>
          <w:sz w:val="24"/>
          <w:szCs w:val="24"/>
        </w:rPr>
        <w:t xml:space="preserve">2786–2788. </w:t>
      </w:r>
    </w:p>
    <w:p/>
    <w:sectPr>
      <w:pgSz w:w="11906" w:h="16838"/>
      <w:pgMar w:top="1440" w:right="1800" w:bottom="1440" w:left="1800" w:header="720" w:footer="720" w:gutter="0"/>
      <w:lnNumType w:countBy="1" w:restart="continuou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80"/>
    <w:family w:val="auto"/>
    <w:pitch w:val="default"/>
    <w:sig w:usb0="00000000" w:usb1="0000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hyphenationZone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45544A"/>
    <w:rsid w:val="001B6C1E"/>
    <w:rsid w:val="002C7A8A"/>
    <w:rsid w:val="005F599A"/>
    <w:rsid w:val="0D45544A"/>
    <w:rsid w:val="230614D2"/>
    <w:rsid w:val="25F14F2B"/>
    <w:rsid w:val="36E93622"/>
    <w:rsid w:val="3D6D5704"/>
    <w:rsid w:val="438C7EDE"/>
    <w:rsid w:val="57776C8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character" w:styleId="3">
    <w:name w:val="line number"/>
    <w:basedOn w:val="2"/>
    <w:uiPriority w:val="0"/>
  </w:style>
  <w:style w:type="character" w:styleId="4">
    <w:name w:val="Hyperlink"/>
    <w:basedOn w:val="2"/>
    <w:unhideWhenUsed/>
    <w:qFormat/>
    <w:uiPriority w:val="99"/>
    <w:rPr>
      <w:color w:val="0563C1" w:themeColor="hyperlink"/>
      <w:u w:val="single"/>
    </w:rPr>
  </w:style>
  <w:style w:type="table" w:styleId="6">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1616</Words>
  <Characters>8728</Characters>
  <Lines>72</Lines>
  <Paragraphs>20</Paragraphs>
  <TotalTime>6</TotalTime>
  <ScaleCrop>false</ScaleCrop>
  <LinksUpToDate>false</LinksUpToDate>
  <CharactersWithSpaces>10324</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2020-03-13T19:24:00Z</dcterms:created>
  <dc:creator>PC _LASAN</dc:creator>
  <cp:lastModifiedBy>PC _LASAN</cp:lastModifiedBy>
  <dcterms:modified xsi:type="dcterms:W3CDTF">2020-03-13T19:31:11Z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1046-10.2.0.7646</vt:lpwstr>
  </property>
</Properties>
</file>